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43" w:rsidRDefault="00704743" w:rsidP="00BE5596">
      <w:pPr>
        <w:autoSpaceDE w:val="0"/>
        <w:autoSpaceDN w:val="0"/>
        <w:adjustRightInd w:val="0"/>
        <w:jc w:val="both"/>
        <w:rPr>
          <w:rFonts w:ascii="Arial" w:hAnsi="Arial" w:cs="Arial"/>
          <w:color w:val="000000"/>
          <w:sz w:val="18"/>
          <w:szCs w:val="18"/>
          <w:lang w:val="es-MX"/>
        </w:rPr>
      </w:pPr>
    </w:p>
    <w:p w:rsidR="00723E91" w:rsidRPr="0079229C" w:rsidRDefault="00002FB2" w:rsidP="00FF2D93">
      <w:pPr>
        <w:autoSpaceDE w:val="0"/>
        <w:autoSpaceDN w:val="0"/>
        <w:adjustRightInd w:val="0"/>
        <w:jc w:val="both"/>
        <w:rPr>
          <w:rFonts w:ascii="Arial" w:hAnsi="Arial" w:cs="Arial"/>
          <w:sz w:val="18"/>
          <w:szCs w:val="18"/>
          <w:lang w:val="es-MX"/>
        </w:rPr>
      </w:pPr>
      <w:r w:rsidRPr="00940207">
        <w:rPr>
          <w:rFonts w:ascii="Arial" w:hAnsi="Arial" w:cs="Arial"/>
          <w:color w:val="000000"/>
          <w:sz w:val="18"/>
          <w:szCs w:val="18"/>
          <w:lang w:val="es-MX"/>
        </w:rPr>
        <w:t>En la ciudad de Aguascalientes, Ags, s</w:t>
      </w:r>
      <w:r w:rsidRPr="00940207">
        <w:rPr>
          <w:rFonts w:ascii="Arial" w:hAnsi="Arial" w:cs="Arial"/>
          <w:sz w:val="18"/>
          <w:szCs w:val="18"/>
          <w:lang w:val="es-MX"/>
        </w:rPr>
        <w:t xml:space="preserve">iendo las </w:t>
      </w:r>
      <w:r w:rsidR="00940207">
        <w:rPr>
          <w:rFonts w:ascii="Arial" w:hAnsi="Arial" w:cs="Arial"/>
          <w:sz w:val="18"/>
          <w:szCs w:val="18"/>
          <w:lang w:val="es-MX"/>
        </w:rPr>
        <w:t>1</w:t>
      </w:r>
      <w:r w:rsidR="00185C97">
        <w:rPr>
          <w:rFonts w:ascii="Arial" w:hAnsi="Arial" w:cs="Arial"/>
          <w:sz w:val="18"/>
          <w:szCs w:val="18"/>
          <w:lang w:val="es-MX"/>
        </w:rPr>
        <w:t>4</w:t>
      </w:r>
      <w:r w:rsidRPr="00940207">
        <w:rPr>
          <w:rFonts w:ascii="Arial" w:hAnsi="Arial" w:cs="Arial"/>
          <w:sz w:val="18"/>
          <w:szCs w:val="18"/>
          <w:lang w:val="es-MX"/>
        </w:rPr>
        <w:t>:00</w:t>
      </w:r>
      <w:r w:rsidR="0069303A">
        <w:rPr>
          <w:rFonts w:ascii="Arial" w:hAnsi="Arial" w:cs="Arial"/>
          <w:sz w:val="18"/>
          <w:szCs w:val="18"/>
          <w:lang w:val="es-MX"/>
        </w:rPr>
        <w:t xml:space="preserve"> (</w:t>
      </w:r>
      <w:r w:rsidR="00185C97">
        <w:rPr>
          <w:rFonts w:ascii="Arial" w:hAnsi="Arial" w:cs="Arial"/>
          <w:sz w:val="18"/>
          <w:szCs w:val="18"/>
          <w:lang w:val="es-MX"/>
        </w:rPr>
        <w:t>catorce</w:t>
      </w:r>
      <w:r w:rsidR="0069303A">
        <w:rPr>
          <w:rFonts w:ascii="Arial" w:hAnsi="Arial" w:cs="Arial"/>
          <w:sz w:val="18"/>
          <w:szCs w:val="18"/>
          <w:lang w:val="es-MX"/>
        </w:rPr>
        <w:t>)</w:t>
      </w:r>
      <w:r w:rsidRPr="00940207">
        <w:rPr>
          <w:rFonts w:ascii="Arial" w:hAnsi="Arial" w:cs="Arial"/>
          <w:sz w:val="18"/>
          <w:szCs w:val="18"/>
          <w:lang w:val="es-MX"/>
        </w:rPr>
        <w:t xml:space="preserve"> horas del día </w:t>
      </w:r>
      <w:r w:rsidR="00500C7B">
        <w:rPr>
          <w:rFonts w:ascii="Arial" w:hAnsi="Arial" w:cs="Arial"/>
          <w:sz w:val="18"/>
          <w:szCs w:val="18"/>
          <w:lang w:val="es-MX"/>
        </w:rPr>
        <w:t>01</w:t>
      </w:r>
      <w:r w:rsidR="00333463">
        <w:rPr>
          <w:rFonts w:ascii="Arial" w:hAnsi="Arial" w:cs="Arial"/>
          <w:sz w:val="18"/>
          <w:szCs w:val="18"/>
          <w:lang w:val="es-MX"/>
        </w:rPr>
        <w:t xml:space="preserve"> de </w:t>
      </w:r>
      <w:r w:rsidR="00500C7B">
        <w:rPr>
          <w:rFonts w:ascii="Arial" w:hAnsi="Arial" w:cs="Arial"/>
          <w:sz w:val="18"/>
          <w:szCs w:val="18"/>
          <w:lang w:val="es-MX"/>
        </w:rPr>
        <w:t>junio</w:t>
      </w:r>
      <w:r w:rsidR="00BB0FF2">
        <w:rPr>
          <w:rFonts w:ascii="Arial" w:hAnsi="Arial" w:cs="Arial"/>
          <w:sz w:val="18"/>
          <w:szCs w:val="18"/>
          <w:lang w:val="es-MX"/>
        </w:rPr>
        <w:t xml:space="preserve"> </w:t>
      </w:r>
      <w:r w:rsidRPr="00940207">
        <w:rPr>
          <w:rFonts w:ascii="Arial" w:hAnsi="Arial" w:cs="Arial"/>
          <w:sz w:val="18"/>
          <w:szCs w:val="18"/>
          <w:lang w:val="es-MX"/>
        </w:rPr>
        <w:t>de 201</w:t>
      </w:r>
      <w:r w:rsidR="00500C7B">
        <w:rPr>
          <w:rFonts w:ascii="Arial" w:hAnsi="Arial" w:cs="Arial"/>
          <w:sz w:val="18"/>
          <w:szCs w:val="18"/>
          <w:lang w:val="es-MX"/>
        </w:rPr>
        <w:t>8</w:t>
      </w:r>
      <w:r w:rsidRPr="00940207">
        <w:rPr>
          <w:rFonts w:ascii="Arial" w:hAnsi="Arial" w:cs="Arial"/>
          <w:sz w:val="18"/>
          <w:szCs w:val="18"/>
          <w:lang w:val="es-MX"/>
        </w:rPr>
        <w:t xml:space="preserve"> </w:t>
      </w:r>
      <w:r w:rsidR="00940207" w:rsidRPr="00940207">
        <w:rPr>
          <w:rFonts w:ascii="Arial" w:hAnsi="Arial" w:cs="Arial"/>
          <w:sz w:val="18"/>
          <w:szCs w:val="18"/>
          <w:lang w:val="es-MX"/>
        </w:rPr>
        <w:t xml:space="preserve">de conformidad con lo establecido en el numeral VIII, inciso </w:t>
      </w:r>
      <w:r w:rsidR="00940207">
        <w:rPr>
          <w:rFonts w:ascii="Arial" w:hAnsi="Arial" w:cs="Arial"/>
          <w:sz w:val="18"/>
          <w:szCs w:val="18"/>
          <w:lang w:val="es-MX"/>
        </w:rPr>
        <w:t>C</w:t>
      </w:r>
      <w:r w:rsidR="00940207" w:rsidRPr="00940207">
        <w:rPr>
          <w:rFonts w:ascii="Arial" w:hAnsi="Arial" w:cs="Arial"/>
          <w:sz w:val="18"/>
          <w:szCs w:val="18"/>
          <w:lang w:val="es-MX"/>
        </w:rPr>
        <w:t xml:space="preserve"> de la </w:t>
      </w:r>
      <w:r w:rsidR="00704743">
        <w:rPr>
          <w:rFonts w:ascii="Arial" w:hAnsi="Arial" w:cs="Arial"/>
          <w:sz w:val="18"/>
          <w:szCs w:val="18"/>
          <w:lang w:val="es-MX"/>
        </w:rPr>
        <w:t>ITP</w:t>
      </w:r>
      <w:r w:rsidR="00940207" w:rsidRPr="00940207">
        <w:rPr>
          <w:rFonts w:ascii="Arial" w:hAnsi="Arial" w:cs="Arial"/>
          <w:sz w:val="18"/>
          <w:szCs w:val="18"/>
          <w:lang w:val="es-MX"/>
        </w:rPr>
        <w:t xml:space="preserve"> N° </w:t>
      </w:r>
      <w:r w:rsidR="006C5CCC">
        <w:rPr>
          <w:rFonts w:ascii="Arial" w:hAnsi="Arial" w:cs="Arial"/>
          <w:sz w:val="18"/>
          <w:szCs w:val="18"/>
          <w:lang w:val="es-MX"/>
        </w:rPr>
        <w:t>E/</w:t>
      </w:r>
      <w:r w:rsidR="00500C7B">
        <w:rPr>
          <w:rFonts w:ascii="Arial" w:hAnsi="Arial" w:cs="Arial"/>
          <w:sz w:val="18"/>
          <w:szCs w:val="18"/>
          <w:lang w:val="es-MX"/>
        </w:rPr>
        <w:t>901045968</w:t>
      </w:r>
      <w:r w:rsidR="00940207" w:rsidRPr="00940207">
        <w:rPr>
          <w:rFonts w:ascii="Arial" w:hAnsi="Arial" w:cs="Arial"/>
          <w:sz w:val="18"/>
          <w:szCs w:val="18"/>
          <w:lang w:val="es-MX"/>
        </w:rPr>
        <w:t>-0</w:t>
      </w:r>
      <w:r w:rsidR="00423A86">
        <w:rPr>
          <w:rFonts w:ascii="Arial" w:hAnsi="Arial" w:cs="Arial"/>
          <w:sz w:val="18"/>
          <w:szCs w:val="18"/>
          <w:lang w:val="es-MX"/>
        </w:rPr>
        <w:t>0</w:t>
      </w:r>
      <w:r w:rsidR="00333463">
        <w:rPr>
          <w:rFonts w:ascii="Arial" w:hAnsi="Arial" w:cs="Arial"/>
          <w:sz w:val="18"/>
          <w:szCs w:val="18"/>
          <w:lang w:val="es-MX"/>
        </w:rPr>
        <w:t>3</w:t>
      </w:r>
      <w:r w:rsidR="00940207" w:rsidRPr="00940207">
        <w:rPr>
          <w:rFonts w:ascii="Arial" w:hAnsi="Arial" w:cs="Arial"/>
          <w:sz w:val="18"/>
          <w:szCs w:val="18"/>
          <w:lang w:val="es-MX"/>
        </w:rPr>
        <w:t>-1</w:t>
      </w:r>
      <w:r w:rsidR="00500C7B">
        <w:rPr>
          <w:rFonts w:ascii="Arial" w:hAnsi="Arial" w:cs="Arial"/>
          <w:sz w:val="18"/>
          <w:szCs w:val="18"/>
          <w:lang w:val="es-MX"/>
        </w:rPr>
        <w:t>8</w:t>
      </w:r>
      <w:r w:rsidR="00940207" w:rsidRPr="00940207">
        <w:rPr>
          <w:rFonts w:ascii="Arial" w:hAnsi="Arial" w:cs="Arial"/>
          <w:sz w:val="18"/>
          <w:szCs w:val="18"/>
          <w:lang w:val="es-MX"/>
        </w:rPr>
        <w:t xml:space="preserve"> de la convocatoria que norma esta </w:t>
      </w:r>
      <w:r w:rsidR="00423A86">
        <w:rPr>
          <w:rFonts w:ascii="Arial" w:hAnsi="Arial" w:cs="Arial"/>
          <w:sz w:val="18"/>
          <w:szCs w:val="18"/>
          <w:lang w:val="es-MX"/>
        </w:rPr>
        <w:t>Invitación</w:t>
      </w:r>
      <w:r w:rsidR="00940207" w:rsidRPr="00940207">
        <w:rPr>
          <w:rFonts w:ascii="Arial" w:hAnsi="Arial" w:cs="Arial"/>
          <w:sz w:val="18"/>
          <w:szCs w:val="18"/>
          <w:lang w:val="es-MX"/>
        </w:rPr>
        <w:t xml:space="preserve">, se reunieron en </w:t>
      </w:r>
      <w:r w:rsidR="00423A86">
        <w:rPr>
          <w:rFonts w:ascii="Arial" w:hAnsi="Arial" w:cs="Arial"/>
          <w:sz w:val="18"/>
          <w:szCs w:val="18"/>
          <w:lang w:val="es-MX"/>
        </w:rPr>
        <w:t>la Sala de Juntas de la Dirección General de Finanzas</w:t>
      </w:r>
      <w:r w:rsidRPr="00940207">
        <w:rPr>
          <w:rFonts w:ascii="Arial" w:hAnsi="Arial" w:cs="Arial"/>
          <w:sz w:val="18"/>
          <w:szCs w:val="18"/>
          <w:lang w:val="es-MX"/>
        </w:rPr>
        <w:t xml:space="preserve">, sita  en  Avenida  Universidad  </w:t>
      </w:r>
      <w:r w:rsidR="00940207" w:rsidRPr="00940207">
        <w:rPr>
          <w:rFonts w:ascii="Arial" w:hAnsi="Arial" w:cs="Arial"/>
          <w:sz w:val="18"/>
          <w:szCs w:val="18"/>
          <w:lang w:val="es-MX"/>
        </w:rPr>
        <w:t>número</w:t>
      </w:r>
      <w:r w:rsidRPr="00940207">
        <w:rPr>
          <w:rFonts w:ascii="Arial" w:hAnsi="Arial" w:cs="Arial"/>
          <w:sz w:val="18"/>
          <w:szCs w:val="18"/>
          <w:lang w:val="es-MX"/>
        </w:rPr>
        <w:t xml:space="preserve">  940,  Ciudad Universitaria, los   servidores públicos autorizados, cuyos nombres y firmas aparecen al final del acta,</w:t>
      </w:r>
      <w:r w:rsidR="005D55EB">
        <w:rPr>
          <w:rFonts w:ascii="Arial" w:hAnsi="Arial" w:cs="Arial"/>
          <w:sz w:val="18"/>
          <w:szCs w:val="18"/>
          <w:lang w:val="es-MX"/>
        </w:rPr>
        <w:t xml:space="preserve"> </w:t>
      </w:r>
      <w:r w:rsidRPr="00940207">
        <w:rPr>
          <w:rFonts w:ascii="Arial" w:hAnsi="Arial" w:cs="Arial"/>
          <w:sz w:val="18"/>
          <w:szCs w:val="18"/>
          <w:lang w:val="es-MX"/>
        </w:rPr>
        <w:t>con</w:t>
      </w:r>
      <w:r w:rsidR="005D55EB">
        <w:rPr>
          <w:rFonts w:ascii="Arial" w:hAnsi="Arial" w:cs="Arial"/>
          <w:sz w:val="18"/>
          <w:szCs w:val="18"/>
          <w:lang w:val="es-MX"/>
        </w:rPr>
        <w:t xml:space="preserve"> </w:t>
      </w:r>
      <w:r w:rsidRPr="00940207">
        <w:rPr>
          <w:rFonts w:ascii="Arial" w:hAnsi="Arial" w:cs="Arial"/>
          <w:sz w:val="18"/>
          <w:szCs w:val="18"/>
          <w:lang w:val="es-MX"/>
        </w:rPr>
        <w:t>el</w:t>
      </w:r>
      <w:r w:rsidR="005D55EB">
        <w:rPr>
          <w:rFonts w:ascii="Arial" w:hAnsi="Arial" w:cs="Arial"/>
          <w:sz w:val="18"/>
          <w:szCs w:val="18"/>
          <w:lang w:val="es-MX"/>
        </w:rPr>
        <w:t xml:space="preserve"> </w:t>
      </w:r>
      <w:r w:rsidRPr="00940207">
        <w:rPr>
          <w:rFonts w:ascii="Arial" w:hAnsi="Arial" w:cs="Arial"/>
          <w:sz w:val="18"/>
          <w:szCs w:val="18"/>
          <w:lang w:val="es-MX"/>
        </w:rPr>
        <w:t>objeto</w:t>
      </w:r>
      <w:r w:rsidR="005D55EB">
        <w:rPr>
          <w:rFonts w:ascii="Arial" w:hAnsi="Arial" w:cs="Arial"/>
          <w:sz w:val="18"/>
          <w:szCs w:val="18"/>
          <w:lang w:val="es-MX"/>
        </w:rPr>
        <w:t xml:space="preserve"> </w:t>
      </w:r>
      <w:r w:rsidRPr="00940207">
        <w:rPr>
          <w:rFonts w:ascii="Arial" w:hAnsi="Arial" w:cs="Arial"/>
          <w:sz w:val="18"/>
          <w:szCs w:val="18"/>
          <w:lang w:val="es-MX"/>
        </w:rPr>
        <w:t>realizar el</w:t>
      </w:r>
      <w:r w:rsidR="005D55EB">
        <w:rPr>
          <w:rFonts w:ascii="Arial" w:hAnsi="Arial" w:cs="Arial"/>
          <w:sz w:val="18"/>
          <w:szCs w:val="18"/>
          <w:lang w:val="es-MX"/>
        </w:rPr>
        <w:t xml:space="preserve"> acto de notificación de fallo </w:t>
      </w:r>
      <w:r w:rsidRPr="00940207">
        <w:rPr>
          <w:rFonts w:ascii="Arial" w:hAnsi="Arial" w:cs="Arial"/>
          <w:sz w:val="18"/>
          <w:szCs w:val="18"/>
          <w:lang w:val="es-MX"/>
        </w:rPr>
        <w:t>de la adquisición    señalada al rubro para</w:t>
      </w:r>
      <w:r w:rsidRPr="00940207">
        <w:rPr>
          <w:rFonts w:ascii="Arial" w:hAnsi="Arial" w:cs="Arial"/>
          <w:color w:val="000000"/>
          <w:sz w:val="18"/>
          <w:szCs w:val="18"/>
        </w:rPr>
        <w:t xml:space="preserve"> la</w:t>
      </w:r>
      <w:r w:rsidRPr="00940207">
        <w:rPr>
          <w:rFonts w:ascii="Arial" w:hAnsi="Arial" w:cs="Arial"/>
          <w:sz w:val="18"/>
          <w:szCs w:val="18"/>
          <w:lang w:val="es-MX"/>
        </w:rPr>
        <w:t xml:space="preserve"> Universidad Autónoma de Aguascalientes,  de conformidad  con lo establecido en el artículo   37 de la Ley de Adquisiciones, Arrendamientos y Servicios del Sect</w:t>
      </w:r>
      <w:r w:rsidR="00FB33DE">
        <w:rPr>
          <w:rFonts w:ascii="Arial" w:hAnsi="Arial" w:cs="Arial"/>
          <w:sz w:val="18"/>
          <w:szCs w:val="18"/>
          <w:lang w:val="es-MX"/>
        </w:rPr>
        <w:t>or Público (en adelante la Ley)</w:t>
      </w:r>
      <w:r w:rsidRPr="00940207">
        <w:rPr>
          <w:rFonts w:ascii="Arial" w:hAnsi="Arial" w:cs="Arial"/>
          <w:sz w:val="18"/>
          <w:szCs w:val="18"/>
          <w:lang w:val="es-MX"/>
        </w:rPr>
        <w:t>.</w:t>
      </w:r>
      <w:r w:rsidR="002A14B6" w:rsidRPr="002A14B6">
        <w:rPr>
          <w:rFonts w:ascii="Arial" w:hAnsi="Arial" w:cs="Arial"/>
        </w:rPr>
        <w:t xml:space="preserve"> </w:t>
      </w:r>
      <w:r w:rsidR="002A14B6" w:rsidRPr="00933027">
        <w:rPr>
          <w:rFonts w:ascii="Arial" w:hAnsi="Arial" w:cs="Arial"/>
        </w:rPr>
        <w:t>--------------------------------------------------</w:t>
      </w:r>
      <w:r w:rsidR="00B54FB6" w:rsidRPr="00933027">
        <w:rPr>
          <w:rFonts w:ascii="Arial" w:hAnsi="Arial" w:cs="Arial"/>
        </w:rPr>
        <w:t>--------------------------------</w:t>
      </w:r>
      <w:r w:rsidR="0079229C">
        <w:rPr>
          <w:rFonts w:ascii="Arial" w:hAnsi="Arial" w:cs="Arial"/>
        </w:rPr>
        <w:t>-------------------------------------------------</w:t>
      </w:r>
      <w:r w:rsidR="00B54FB6" w:rsidRPr="00933027">
        <w:rPr>
          <w:rFonts w:ascii="Arial" w:hAnsi="Arial" w:cs="Arial"/>
        </w:rPr>
        <w:t>---</w:t>
      </w:r>
    </w:p>
    <w:p w:rsidR="000E00C7" w:rsidRPr="00423A86" w:rsidRDefault="00423A86" w:rsidP="00FF2D93">
      <w:pPr>
        <w:autoSpaceDE w:val="0"/>
        <w:autoSpaceDN w:val="0"/>
        <w:adjustRightInd w:val="0"/>
        <w:jc w:val="both"/>
        <w:rPr>
          <w:rFonts w:ascii="Arial" w:hAnsi="Arial" w:cs="Arial"/>
          <w:b/>
          <w:bCs/>
          <w:color w:val="000000"/>
          <w:sz w:val="16"/>
          <w:szCs w:val="16"/>
          <w:lang w:val="es-MX"/>
        </w:rPr>
      </w:pPr>
      <w:r w:rsidRPr="00CF0042">
        <w:rPr>
          <w:rFonts w:ascii="Arial" w:hAnsi="Arial" w:cs="Arial"/>
          <w:color w:val="000000"/>
          <w:sz w:val="18"/>
          <w:szCs w:val="18"/>
        </w:rPr>
        <w:t xml:space="preserve">De conformidad al calendario de las bases de esta </w:t>
      </w:r>
      <w:r w:rsidR="00964458">
        <w:rPr>
          <w:rFonts w:ascii="Arial" w:hAnsi="Arial" w:cs="Arial"/>
          <w:color w:val="000000"/>
          <w:sz w:val="18"/>
          <w:szCs w:val="18"/>
        </w:rPr>
        <w:t xml:space="preserve">invitación </w:t>
      </w:r>
      <w:r w:rsidR="00D3549D">
        <w:rPr>
          <w:rFonts w:ascii="Arial" w:hAnsi="Arial" w:cs="Arial"/>
          <w:color w:val="000000"/>
          <w:sz w:val="18"/>
          <w:szCs w:val="18"/>
        </w:rPr>
        <w:t>la convocante realizó</w:t>
      </w:r>
      <w:r w:rsidRPr="00CF0042">
        <w:rPr>
          <w:rFonts w:ascii="Arial" w:hAnsi="Arial" w:cs="Arial"/>
          <w:color w:val="000000"/>
          <w:sz w:val="18"/>
          <w:szCs w:val="18"/>
        </w:rPr>
        <w:t xml:space="preserve"> el día </w:t>
      </w:r>
      <w:r w:rsidR="00500C7B">
        <w:rPr>
          <w:rFonts w:ascii="Arial" w:hAnsi="Arial" w:cs="Arial"/>
          <w:b/>
          <w:sz w:val="18"/>
          <w:szCs w:val="18"/>
        </w:rPr>
        <w:t>31</w:t>
      </w:r>
      <w:r w:rsidR="006C5CCC">
        <w:rPr>
          <w:rFonts w:ascii="Arial" w:hAnsi="Arial" w:cs="Arial"/>
          <w:b/>
          <w:sz w:val="18"/>
          <w:szCs w:val="18"/>
        </w:rPr>
        <w:t xml:space="preserve"> de </w:t>
      </w:r>
      <w:r w:rsidR="00500C7B">
        <w:rPr>
          <w:rFonts w:ascii="Arial" w:hAnsi="Arial" w:cs="Arial"/>
          <w:b/>
          <w:sz w:val="18"/>
          <w:szCs w:val="18"/>
        </w:rPr>
        <w:t>mayo</w:t>
      </w:r>
      <w:r w:rsidR="00CE4D99" w:rsidRPr="005860D1">
        <w:rPr>
          <w:rFonts w:ascii="Arial" w:hAnsi="Arial" w:cs="Arial"/>
          <w:b/>
          <w:sz w:val="18"/>
          <w:szCs w:val="18"/>
        </w:rPr>
        <w:t xml:space="preserve"> de 201</w:t>
      </w:r>
      <w:r w:rsidR="00500C7B">
        <w:rPr>
          <w:rFonts w:ascii="Arial" w:hAnsi="Arial" w:cs="Arial"/>
          <w:b/>
          <w:sz w:val="18"/>
          <w:szCs w:val="18"/>
        </w:rPr>
        <w:t>8</w:t>
      </w:r>
      <w:r w:rsidR="00CE4D99" w:rsidRPr="007915ED">
        <w:rPr>
          <w:rFonts w:ascii="Arial" w:hAnsi="Arial" w:cs="Arial"/>
          <w:sz w:val="18"/>
          <w:szCs w:val="18"/>
        </w:rPr>
        <w:t xml:space="preserve"> </w:t>
      </w:r>
      <w:r w:rsidR="00CE4D99">
        <w:rPr>
          <w:rFonts w:ascii="Arial" w:hAnsi="Arial" w:cs="Arial"/>
          <w:sz w:val="18"/>
          <w:szCs w:val="18"/>
        </w:rPr>
        <w:t xml:space="preserve">a las </w:t>
      </w:r>
      <w:r w:rsidR="006C5CCC">
        <w:rPr>
          <w:rFonts w:ascii="Arial" w:hAnsi="Arial" w:cs="Arial"/>
          <w:b/>
          <w:sz w:val="18"/>
          <w:szCs w:val="18"/>
        </w:rPr>
        <w:t>1</w:t>
      </w:r>
      <w:r w:rsidR="00185C97">
        <w:rPr>
          <w:rFonts w:ascii="Arial" w:hAnsi="Arial" w:cs="Arial"/>
          <w:b/>
          <w:sz w:val="18"/>
          <w:szCs w:val="18"/>
        </w:rPr>
        <w:t>0</w:t>
      </w:r>
      <w:r w:rsidR="00CE4D99">
        <w:rPr>
          <w:rFonts w:ascii="Arial" w:hAnsi="Arial" w:cs="Arial"/>
          <w:b/>
          <w:sz w:val="18"/>
          <w:szCs w:val="18"/>
        </w:rPr>
        <w:t>:00 (</w:t>
      </w:r>
      <w:r w:rsidR="00185C97">
        <w:rPr>
          <w:rFonts w:ascii="Arial" w:hAnsi="Arial" w:cs="Arial"/>
          <w:b/>
          <w:sz w:val="18"/>
          <w:szCs w:val="18"/>
        </w:rPr>
        <w:t>diez</w:t>
      </w:r>
      <w:r w:rsidR="00CE4D99">
        <w:rPr>
          <w:rFonts w:ascii="Arial" w:hAnsi="Arial" w:cs="Arial"/>
          <w:b/>
          <w:sz w:val="18"/>
          <w:szCs w:val="18"/>
        </w:rPr>
        <w:t>)</w:t>
      </w:r>
      <w:r w:rsidR="00CE4D99">
        <w:rPr>
          <w:rFonts w:ascii="Arial" w:hAnsi="Arial" w:cs="Arial"/>
          <w:sz w:val="18"/>
          <w:szCs w:val="18"/>
        </w:rPr>
        <w:t xml:space="preserve"> horas, </w:t>
      </w:r>
      <w:r w:rsidR="00FF2D93" w:rsidRPr="00FE4064">
        <w:rPr>
          <w:rFonts w:ascii="Arial" w:hAnsi="Arial" w:cs="Arial"/>
          <w:color w:val="000000"/>
          <w:sz w:val="18"/>
          <w:szCs w:val="18"/>
        </w:rPr>
        <w:t>la inscripción</w:t>
      </w:r>
      <w:r w:rsidR="00500C7B">
        <w:rPr>
          <w:rFonts w:ascii="Arial" w:hAnsi="Arial" w:cs="Arial"/>
          <w:color w:val="000000"/>
          <w:sz w:val="18"/>
          <w:szCs w:val="18"/>
        </w:rPr>
        <w:t xml:space="preserve"> de </w:t>
      </w:r>
      <w:r w:rsidR="00500C7B" w:rsidRPr="00500C7B">
        <w:rPr>
          <w:rFonts w:ascii="Arial" w:hAnsi="Arial" w:cs="Arial"/>
          <w:b/>
          <w:sz w:val="18"/>
          <w:szCs w:val="18"/>
        </w:rPr>
        <w:t>02</w:t>
      </w:r>
      <w:r w:rsidRPr="00500C7B">
        <w:rPr>
          <w:rFonts w:ascii="Arial" w:hAnsi="Arial" w:cs="Arial"/>
          <w:b/>
          <w:sz w:val="18"/>
          <w:szCs w:val="18"/>
        </w:rPr>
        <w:t xml:space="preserve"> </w:t>
      </w:r>
      <w:r w:rsidR="006C5CCC" w:rsidRPr="00500C7B">
        <w:rPr>
          <w:rFonts w:ascii="Arial" w:hAnsi="Arial" w:cs="Arial"/>
          <w:b/>
          <w:sz w:val="18"/>
          <w:szCs w:val="18"/>
        </w:rPr>
        <w:t xml:space="preserve"> propuesta</w:t>
      </w:r>
      <w:r w:rsidR="00333463" w:rsidRPr="00500C7B">
        <w:rPr>
          <w:rFonts w:ascii="Arial" w:hAnsi="Arial" w:cs="Arial"/>
          <w:b/>
          <w:sz w:val="18"/>
          <w:szCs w:val="18"/>
        </w:rPr>
        <w:t>s</w:t>
      </w:r>
      <w:r w:rsidRPr="00F6341F">
        <w:rPr>
          <w:rFonts w:ascii="Arial" w:hAnsi="Arial" w:cs="Arial"/>
          <w:color w:val="632423" w:themeColor="accent2" w:themeShade="80"/>
          <w:sz w:val="18"/>
          <w:szCs w:val="18"/>
        </w:rPr>
        <w:t xml:space="preserve"> </w:t>
      </w:r>
      <w:r w:rsidR="006C5CCC">
        <w:rPr>
          <w:rFonts w:ascii="Arial" w:hAnsi="Arial" w:cs="Arial"/>
          <w:color w:val="000000"/>
          <w:sz w:val="18"/>
          <w:szCs w:val="18"/>
        </w:rPr>
        <w:t>presentada</w:t>
      </w:r>
      <w:r w:rsidR="00333463">
        <w:rPr>
          <w:rFonts w:ascii="Arial" w:hAnsi="Arial" w:cs="Arial"/>
          <w:color w:val="000000"/>
          <w:sz w:val="18"/>
          <w:szCs w:val="18"/>
        </w:rPr>
        <w:t>s</w:t>
      </w:r>
      <w:r w:rsidR="006C5CCC">
        <w:rPr>
          <w:rFonts w:ascii="Arial" w:hAnsi="Arial" w:cs="Arial"/>
          <w:color w:val="000000"/>
          <w:sz w:val="18"/>
          <w:szCs w:val="18"/>
        </w:rPr>
        <w:t xml:space="preserve">  en forma y tiempo  por  l</w:t>
      </w:r>
      <w:r w:rsidR="00333463">
        <w:rPr>
          <w:rFonts w:ascii="Arial" w:hAnsi="Arial" w:cs="Arial"/>
          <w:color w:val="000000"/>
          <w:sz w:val="18"/>
          <w:szCs w:val="18"/>
        </w:rPr>
        <w:t>os</w:t>
      </w:r>
      <w:r w:rsidR="006C5CCC">
        <w:rPr>
          <w:rFonts w:ascii="Arial" w:hAnsi="Arial" w:cs="Arial"/>
          <w:color w:val="000000"/>
          <w:sz w:val="18"/>
          <w:szCs w:val="18"/>
        </w:rPr>
        <w:t xml:space="preserve"> </w:t>
      </w:r>
      <w:r w:rsidRPr="00FE4064">
        <w:rPr>
          <w:rFonts w:ascii="Arial" w:hAnsi="Arial" w:cs="Arial"/>
          <w:color w:val="000000"/>
          <w:sz w:val="18"/>
          <w:szCs w:val="18"/>
        </w:rPr>
        <w:t>corre</w:t>
      </w:r>
      <w:r w:rsidR="006C5CCC">
        <w:rPr>
          <w:rFonts w:ascii="Arial" w:hAnsi="Arial" w:cs="Arial"/>
          <w:color w:val="000000"/>
          <w:sz w:val="18"/>
          <w:szCs w:val="18"/>
        </w:rPr>
        <w:t>spondiente</w:t>
      </w:r>
      <w:r w:rsidR="00333463">
        <w:rPr>
          <w:rFonts w:ascii="Arial" w:hAnsi="Arial" w:cs="Arial"/>
          <w:color w:val="000000"/>
          <w:sz w:val="18"/>
          <w:szCs w:val="18"/>
        </w:rPr>
        <w:t>s</w:t>
      </w:r>
      <w:r>
        <w:rPr>
          <w:rFonts w:ascii="Arial" w:hAnsi="Arial" w:cs="Arial"/>
          <w:color w:val="000000"/>
          <w:sz w:val="18"/>
          <w:szCs w:val="18"/>
        </w:rPr>
        <w:t xml:space="preserve">  licitante</w:t>
      </w:r>
      <w:r w:rsidR="00333463">
        <w:rPr>
          <w:rFonts w:ascii="Arial" w:hAnsi="Arial" w:cs="Arial"/>
          <w:color w:val="000000"/>
          <w:sz w:val="18"/>
          <w:szCs w:val="18"/>
        </w:rPr>
        <w:t>s</w:t>
      </w:r>
      <w:r>
        <w:rPr>
          <w:rFonts w:ascii="Arial" w:hAnsi="Arial" w:cs="Arial"/>
          <w:color w:val="000000"/>
          <w:sz w:val="18"/>
          <w:szCs w:val="18"/>
        </w:rPr>
        <w:t>, siendo</w:t>
      </w:r>
      <w:r w:rsidRPr="00FE4064">
        <w:rPr>
          <w:rFonts w:ascii="Arial" w:hAnsi="Arial" w:cs="Arial"/>
          <w:color w:val="000000"/>
          <w:sz w:val="18"/>
          <w:szCs w:val="18"/>
        </w:rPr>
        <w:t>:</w:t>
      </w:r>
      <w:r w:rsidRPr="00423A86">
        <w:rPr>
          <w:rFonts w:ascii="Arial" w:hAnsi="Arial" w:cs="Arial"/>
        </w:rPr>
        <w:t xml:space="preserve"> </w:t>
      </w:r>
      <w:r w:rsidRPr="00933027">
        <w:rPr>
          <w:rFonts w:ascii="Arial" w:hAnsi="Arial" w:cs="Arial"/>
        </w:rPr>
        <w:t>---------------------------------------------------------------------------------------------------------------</w:t>
      </w:r>
      <w:r w:rsidR="000E00C7" w:rsidRPr="00933027">
        <w:rPr>
          <w:rFonts w:ascii="Arial" w:hAnsi="Arial" w:cs="Arial"/>
        </w:rPr>
        <w:t>-------------------------------------------</w:t>
      </w:r>
      <w:r w:rsidR="006C5CCC">
        <w:rPr>
          <w:rFonts w:ascii="Arial" w:hAnsi="Arial" w:cs="Arial"/>
        </w:rPr>
        <w:t>----------------------</w:t>
      </w:r>
      <w:r w:rsidR="000E00C7" w:rsidRPr="00933027">
        <w:rPr>
          <w:rFonts w:ascii="Arial" w:hAnsi="Arial" w:cs="Arial"/>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6"/>
        <w:gridCol w:w="8362"/>
      </w:tblGrid>
      <w:tr w:rsidR="00423A86" w:rsidRPr="000E00C7" w:rsidTr="00F45438">
        <w:trPr>
          <w:trHeight w:val="148"/>
        </w:trPr>
        <w:tc>
          <w:tcPr>
            <w:tcW w:w="264" w:type="pct"/>
            <w:shd w:val="clear" w:color="auto" w:fill="D9D9D9"/>
            <w:noWrap/>
            <w:hideMark/>
          </w:tcPr>
          <w:p w:rsidR="00423A86" w:rsidRPr="000E00C7" w:rsidRDefault="00423A86" w:rsidP="00F45438">
            <w:pPr>
              <w:jc w:val="both"/>
              <w:rPr>
                <w:rFonts w:ascii="Arial" w:hAnsi="Arial" w:cs="Arial"/>
                <w:sz w:val="18"/>
                <w:szCs w:val="18"/>
              </w:rPr>
            </w:pPr>
            <w:r w:rsidRPr="000E00C7">
              <w:rPr>
                <w:rFonts w:ascii="Arial" w:hAnsi="Arial" w:cs="Arial"/>
                <w:sz w:val="18"/>
                <w:szCs w:val="18"/>
              </w:rPr>
              <w:t> </w:t>
            </w:r>
          </w:p>
        </w:tc>
        <w:tc>
          <w:tcPr>
            <w:tcW w:w="4736" w:type="pct"/>
            <w:shd w:val="clear" w:color="auto" w:fill="D9D9D9"/>
            <w:noWrap/>
            <w:hideMark/>
          </w:tcPr>
          <w:p w:rsidR="00423A86" w:rsidRPr="000E00C7" w:rsidRDefault="006C5CCC" w:rsidP="00F45438">
            <w:pPr>
              <w:jc w:val="both"/>
              <w:rPr>
                <w:rFonts w:ascii="Arial" w:hAnsi="Arial" w:cs="Arial"/>
                <w:b/>
                <w:bCs/>
                <w:sz w:val="18"/>
                <w:szCs w:val="18"/>
              </w:rPr>
            </w:pPr>
            <w:r>
              <w:rPr>
                <w:rFonts w:ascii="Arial" w:hAnsi="Arial" w:cs="Arial"/>
                <w:b/>
                <w:bCs/>
                <w:sz w:val="18"/>
                <w:szCs w:val="18"/>
              </w:rPr>
              <w:t>Licitante</w:t>
            </w:r>
          </w:p>
        </w:tc>
      </w:tr>
      <w:tr w:rsidR="00333463" w:rsidRPr="000E00C7" w:rsidTr="00F45438">
        <w:trPr>
          <w:trHeight w:val="216"/>
        </w:trPr>
        <w:tc>
          <w:tcPr>
            <w:tcW w:w="264" w:type="pct"/>
            <w:shd w:val="clear" w:color="auto" w:fill="auto"/>
            <w:noWrap/>
          </w:tcPr>
          <w:p w:rsidR="00333463" w:rsidRPr="00354FDE" w:rsidRDefault="00333463" w:rsidP="00333463">
            <w:pPr>
              <w:jc w:val="both"/>
              <w:rPr>
                <w:rFonts w:ascii="Arial" w:hAnsi="Arial" w:cs="Arial"/>
                <w:sz w:val="18"/>
                <w:szCs w:val="18"/>
              </w:rPr>
            </w:pPr>
            <w:r w:rsidRPr="00354FDE">
              <w:rPr>
                <w:rFonts w:ascii="Arial" w:hAnsi="Arial" w:cs="Arial"/>
                <w:sz w:val="18"/>
                <w:szCs w:val="18"/>
              </w:rPr>
              <w:t>1</w:t>
            </w:r>
          </w:p>
        </w:tc>
        <w:tc>
          <w:tcPr>
            <w:tcW w:w="4736" w:type="pct"/>
            <w:shd w:val="clear" w:color="auto" w:fill="auto"/>
            <w:noWrap/>
            <w:vAlign w:val="bottom"/>
          </w:tcPr>
          <w:p w:rsidR="00333463" w:rsidRPr="00354FDE" w:rsidRDefault="00500C7B" w:rsidP="00333463">
            <w:pPr>
              <w:rPr>
                <w:rFonts w:ascii="Calibri" w:hAnsi="Calibri"/>
                <w:sz w:val="18"/>
                <w:szCs w:val="18"/>
                <w:lang w:eastAsia="es-MX"/>
              </w:rPr>
            </w:pPr>
            <w:r w:rsidRPr="00500C7B">
              <w:rPr>
                <w:rFonts w:ascii="Calibri" w:hAnsi="Calibri"/>
                <w:sz w:val="18"/>
                <w:szCs w:val="18"/>
              </w:rPr>
              <w:t>INGENIERIA DE SISTEMAS DE AGUASCALIENTES, S.A. DE C.V.</w:t>
            </w:r>
          </w:p>
        </w:tc>
      </w:tr>
      <w:tr w:rsidR="00333463" w:rsidRPr="000E00C7" w:rsidTr="00F45438">
        <w:trPr>
          <w:trHeight w:val="216"/>
        </w:trPr>
        <w:tc>
          <w:tcPr>
            <w:tcW w:w="264" w:type="pct"/>
            <w:shd w:val="clear" w:color="auto" w:fill="auto"/>
            <w:noWrap/>
          </w:tcPr>
          <w:p w:rsidR="00333463" w:rsidRPr="00354FDE" w:rsidRDefault="00333463" w:rsidP="00333463">
            <w:pPr>
              <w:jc w:val="both"/>
              <w:rPr>
                <w:rFonts w:ascii="Arial" w:hAnsi="Arial" w:cs="Arial"/>
                <w:sz w:val="18"/>
                <w:szCs w:val="18"/>
              </w:rPr>
            </w:pPr>
            <w:r w:rsidRPr="00354FDE">
              <w:rPr>
                <w:rFonts w:ascii="Arial" w:hAnsi="Arial" w:cs="Arial"/>
                <w:sz w:val="18"/>
                <w:szCs w:val="18"/>
              </w:rPr>
              <w:t>2</w:t>
            </w:r>
          </w:p>
        </w:tc>
        <w:tc>
          <w:tcPr>
            <w:tcW w:w="4736" w:type="pct"/>
            <w:shd w:val="clear" w:color="auto" w:fill="auto"/>
            <w:noWrap/>
            <w:vAlign w:val="bottom"/>
          </w:tcPr>
          <w:p w:rsidR="00333463" w:rsidRPr="00354FDE" w:rsidRDefault="00500C7B" w:rsidP="00333463">
            <w:pPr>
              <w:rPr>
                <w:rFonts w:ascii="Calibri" w:hAnsi="Calibri"/>
                <w:sz w:val="18"/>
                <w:szCs w:val="18"/>
              </w:rPr>
            </w:pPr>
            <w:r w:rsidRPr="00500C7B">
              <w:rPr>
                <w:rFonts w:ascii="Calibri" w:hAnsi="Calibri"/>
                <w:sz w:val="18"/>
                <w:szCs w:val="18"/>
              </w:rPr>
              <w:t>NETJER NETWORKS MEXICO, S.A. DE C.V.</w:t>
            </w:r>
          </w:p>
        </w:tc>
      </w:tr>
    </w:tbl>
    <w:p w:rsidR="00423A86" w:rsidRDefault="00423A86" w:rsidP="00423A86">
      <w:pPr>
        <w:jc w:val="both"/>
        <w:rPr>
          <w:rFonts w:ascii="Arial" w:hAnsi="Arial" w:cs="Arial"/>
          <w:b/>
          <w:bCs/>
          <w:color w:val="000000"/>
          <w:sz w:val="16"/>
          <w:szCs w:val="16"/>
          <w:lang w:val="es-MX"/>
        </w:rPr>
      </w:pPr>
      <w:r w:rsidRPr="00933027">
        <w:rPr>
          <w:rFonts w:ascii="Arial" w:hAnsi="Arial" w:cs="Arial"/>
        </w:rPr>
        <w:t>-----------------------------------------------------------------------------------------------------------------------------</w:t>
      </w:r>
      <w:r w:rsidRPr="00933027">
        <w:rPr>
          <w:rFonts w:ascii="Arial" w:hAnsi="Arial" w:cs="Arial"/>
          <w:sz w:val="18"/>
          <w:szCs w:val="18"/>
        </w:rPr>
        <w:t>--------</w:t>
      </w:r>
    </w:p>
    <w:p w:rsidR="00333463" w:rsidRDefault="00333463" w:rsidP="00333463">
      <w:pPr>
        <w:jc w:val="both"/>
        <w:rPr>
          <w:rFonts w:ascii="Arial" w:hAnsi="Arial" w:cs="Arial"/>
          <w:b/>
          <w:bCs/>
          <w:color w:val="000000"/>
          <w:sz w:val="16"/>
          <w:szCs w:val="16"/>
          <w:lang w:val="es-MX"/>
        </w:rPr>
      </w:pPr>
      <w:r>
        <w:rPr>
          <w:rFonts w:ascii="Arial" w:hAnsi="Arial" w:cs="Arial"/>
          <w:color w:val="000000"/>
          <w:sz w:val="18"/>
          <w:szCs w:val="18"/>
        </w:rPr>
        <w:t>Los</w:t>
      </w:r>
      <w:r w:rsidR="001365CD">
        <w:rPr>
          <w:rFonts w:ascii="Arial" w:hAnsi="Arial" w:cs="Arial"/>
          <w:color w:val="000000"/>
          <w:sz w:val="18"/>
          <w:szCs w:val="18"/>
        </w:rPr>
        <w:t xml:space="preserve"> precio</w:t>
      </w:r>
      <w:r>
        <w:rPr>
          <w:rFonts w:ascii="Arial" w:hAnsi="Arial" w:cs="Arial"/>
          <w:color w:val="000000"/>
          <w:sz w:val="18"/>
          <w:szCs w:val="18"/>
        </w:rPr>
        <w:t>s</w:t>
      </w:r>
      <w:r w:rsidR="001365CD">
        <w:rPr>
          <w:rFonts w:ascii="Arial" w:hAnsi="Arial" w:cs="Arial"/>
          <w:color w:val="000000"/>
          <w:sz w:val="18"/>
          <w:szCs w:val="18"/>
        </w:rPr>
        <w:t xml:space="preserve"> antes de IVA</w:t>
      </w:r>
      <w:r w:rsidR="00423A86" w:rsidRPr="003039F6">
        <w:rPr>
          <w:rFonts w:ascii="Arial" w:hAnsi="Arial" w:cs="Arial"/>
          <w:color w:val="000000"/>
          <w:sz w:val="18"/>
          <w:szCs w:val="18"/>
        </w:rPr>
        <w:t xml:space="preserve"> que </w:t>
      </w:r>
      <w:r w:rsidR="001365CD">
        <w:rPr>
          <w:rFonts w:ascii="Arial" w:hAnsi="Arial" w:cs="Arial"/>
          <w:color w:val="000000"/>
          <w:sz w:val="18"/>
          <w:szCs w:val="18"/>
        </w:rPr>
        <w:t>l</w:t>
      </w:r>
      <w:r>
        <w:rPr>
          <w:rFonts w:ascii="Arial" w:hAnsi="Arial" w:cs="Arial"/>
          <w:color w:val="000000"/>
          <w:sz w:val="18"/>
          <w:szCs w:val="18"/>
        </w:rPr>
        <w:t>os</w:t>
      </w:r>
      <w:r w:rsidR="00423A86" w:rsidRPr="003039F6">
        <w:rPr>
          <w:rFonts w:ascii="Arial" w:hAnsi="Arial" w:cs="Arial"/>
          <w:color w:val="000000"/>
          <w:sz w:val="18"/>
          <w:szCs w:val="18"/>
        </w:rPr>
        <w:t xml:space="preserve"> licitante</w:t>
      </w:r>
      <w:r>
        <w:rPr>
          <w:rFonts w:ascii="Arial" w:hAnsi="Arial" w:cs="Arial"/>
          <w:color w:val="000000"/>
          <w:sz w:val="18"/>
          <w:szCs w:val="18"/>
        </w:rPr>
        <w:t>s</w:t>
      </w:r>
      <w:r w:rsidR="00423A86" w:rsidRPr="003039F6">
        <w:rPr>
          <w:rFonts w:ascii="Arial" w:hAnsi="Arial" w:cs="Arial"/>
          <w:color w:val="000000"/>
          <w:sz w:val="18"/>
          <w:szCs w:val="18"/>
        </w:rPr>
        <w:t xml:space="preserve"> ofer</w:t>
      </w:r>
      <w:r w:rsidR="001365CD">
        <w:rPr>
          <w:rFonts w:ascii="Arial" w:hAnsi="Arial" w:cs="Arial"/>
          <w:color w:val="000000"/>
          <w:sz w:val="18"/>
          <w:szCs w:val="18"/>
        </w:rPr>
        <w:t>t</w:t>
      </w:r>
      <w:r>
        <w:rPr>
          <w:rFonts w:ascii="Arial" w:hAnsi="Arial" w:cs="Arial"/>
          <w:color w:val="000000"/>
          <w:sz w:val="18"/>
          <w:szCs w:val="18"/>
        </w:rPr>
        <w:t>aron</w:t>
      </w:r>
      <w:r w:rsidR="00423A86">
        <w:rPr>
          <w:rFonts w:ascii="Arial" w:hAnsi="Arial" w:cs="Arial"/>
          <w:color w:val="000000"/>
          <w:sz w:val="18"/>
          <w:szCs w:val="18"/>
        </w:rPr>
        <w:t xml:space="preserve"> </w:t>
      </w:r>
      <w:r w:rsidR="00423A86" w:rsidRPr="003039F6">
        <w:rPr>
          <w:rFonts w:ascii="Arial" w:hAnsi="Arial" w:cs="Arial"/>
          <w:color w:val="000000"/>
          <w:sz w:val="18"/>
          <w:szCs w:val="18"/>
        </w:rPr>
        <w:t>para la</w:t>
      </w:r>
      <w:r>
        <w:rPr>
          <w:rFonts w:ascii="Arial" w:hAnsi="Arial" w:cs="Arial"/>
          <w:color w:val="000000"/>
          <w:sz w:val="18"/>
          <w:szCs w:val="18"/>
        </w:rPr>
        <w:t>s</w:t>
      </w:r>
      <w:r w:rsidR="00423A86" w:rsidRPr="003039F6">
        <w:rPr>
          <w:rFonts w:ascii="Arial" w:hAnsi="Arial" w:cs="Arial"/>
          <w:color w:val="000000"/>
          <w:sz w:val="18"/>
          <w:szCs w:val="18"/>
        </w:rPr>
        <w:t xml:space="preserve"> partida</w:t>
      </w:r>
      <w:r>
        <w:rPr>
          <w:rFonts w:ascii="Arial" w:hAnsi="Arial" w:cs="Arial"/>
          <w:color w:val="000000"/>
          <w:sz w:val="18"/>
          <w:szCs w:val="18"/>
        </w:rPr>
        <w:t>s</w:t>
      </w:r>
      <w:r w:rsidR="00423A86" w:rsidRPr="003039F6">
        <w:rPr>
          <w:rFonts w:ascii="Arial" w:hAnsi="Arial" w:cs="Arial"/>
          <w:color w:val="000000"/>
          <w:sz w:val="18"/>
          <w:szCs w:val="18"/>
        </w:rPr>
        <w:t xml:space="preserve"> </w:t>
      </w:r>
      <w:r w:rsidR="00423A86">
        <w:rPr>
          <w:rFonts w:ascii="Arial" w:hAnsi="Arial" w:cs="Arial"/>
          <w:color w:val="000000"/>
          <w:sz w:val="18"/>
          <w:szCs w:val="18"/>
        </w:rPr>
        <w:t>en la</w:t>
      </w:r>
      <w:r>
        <w:rPr>
          <w:rFonts w:ascii="Arial" w:hAnsi="Arial" w:cs="Arial"/>
          <w:color w:val="000000"/>
          <w:sz w:val="18"/>
          <w:szCs w:val="18"/>
        </w:rPr>
        <w:t>s</w:t>
      </w:r>
      <w:r w:rsidR="00423A86">
        <w:rPr>
          <w:rFonts w:ascii="Arial" w:hAnsi="Arial" w:cs="Arial"/>
          <w:color w:val="000000"/>
          <w:sz w:val="18"/>
          <w:szCs w:val="18"/>
        </w:rPr>
        <w:t xml:space="preserve"> que </w:t>
      </w:r>
      <w:r w:rsidR="00423A86" w:rsidRPr="003039F6">
        <w:rPr>
          <w:rFonts w:ascii="Arial" w:hAnsi="Arial" w:cs="Arial"/>
          <w:color w:val="000000"/>
          <w:sz w:val="18"/>
          <w:szCs w:val="18"/>
        </w:rPr>
        <w:t>participa</w:t>
      </w:r>
      <w:r>
        <w:rPr>
          <w:rFonts w:ascii="Arial" w:hAnsi="Arial" w:cs="Arial"/>
          <w:color w:val="000000"/>
          <w:sz w:val="18"/>
          <w:szCs w:val="18"/>
        </w:rPr>
        <w:t xml:space="preserve"> </w:t>
      </w:r>
      <w:r w:rsidR="001365CD">
        <w:rPr>
          <w:rFonts w:ascii="Arial" w:hAnsi="Arial" w:cs="Arial"/>
          <w:color w:val="000000"/>
          <w:sz w:val="18"/>
          <w:szCs w:val="18"/>
        </w:rPr>
        <w:t>s</w:t>
      </w:r>
      <w:r>
        <w:rPr>
          <w:rFonts w:ascii="Arial" w:hAnsi="Arial" w:cs="Arial"/>
          <w:color w:val="000000"/>
          <w:sz w:val="18"/>
          <w:szCs w:val="18"/>
        </w:rPr>
        <w:t>on</w:t>
      </w:r>
      <w:r w:rsidR="001365CD">
        <w:rPr>
          <w:rFonts w:ascii="Arial" w:hAnsi="Arial" w:cs="Arial"/>
          <w:color w:val="000000"/>
          <w:sz w:val="18"/>
          <w:szCs w:val="18"/>
        </w:rPr>
        <w:t xml:space="preserve"> l</w:t>
      </w:r>
      <w:r>
        <w:rPr>
          <w:rFonts w:ascii="Arial" w:hAnsi="Arial" w:cs="Arial"/>
          <w:color w:val="000000"/>
          <w:sz w:val="18"/>
          <w:szCs w:val="18"/>
        </w:rPr>
        <w:t>os</w:t>
      </w:r>
      <w:r w:rsidR="001365CD">
        <w:rPr>
          <w:rFonts w:ascii="Arial" w:hAnsi="Arial" w:cs="Arial"/>
          <w:color w:val="000000"/>
          <w:sz w:val="18"/>
          <w:szCs w:val="18"/>
        </w:rPr>
        <w:t xml:space="preserve"> siguiente</w:t>
      </w:r>
      <w:r>
        <w:rPr>
          <w:rFonts w:ascii="Arial" w:hAnsi="Arial" w:cs="Arial"/>
          <w:color w:val="000000"/>
          <w:sz w:val="18"/>
          <w:szCs w:val="18"/>
        </w:rPr>
        <w:t>s</w:t>
      </w:r>
      <w:r w:rsidR="001365CD">
        <w:rPr>
          <w:rFonts w:ascii="Arial" w:hAnsi="Arial" w:cs="Arial"/>
          <w:color w:val="000000"/>
          <w:sz w:val="18"/>
          <w:szCs w:val="18"/>
        </w:rPr>
        <w:t>:</w:t>
      </w:r>
      <w:r w:rsidR="00423A86" w:rsidRPr="00423A86">
        <w:rPr>
          <w:rFonts w:ascii="Arial" w:hAnsi="Arial" w:cs="Arial"/>
        </w:rPr>
        <w:t xml:space="preserve"> </w:t>
      </w:r>
      <w:r w:rsidR="00423A86" w:rsidRPr="00933027">
        <w:rPr>
          <w:rFonts w:ascii="Arial" w:hAnsi="Arial" w:cs="Arial"/>
        </w:rPr>
        <w:t>-</w:t>
      </w:r>
      <w:r w:rsidRPr="00933027">
        <w:rPr>
          <w:rFonts w:ascii="Arial" w:hAnsi="Arial" w:cs="Arial"/>
        </w:rPr>
        <w:t>-----------------------------------------------------------------------------------------------------------------------------</w:t>
      </w:r>
      <w:r w:rsidRPr="00933027">
        <w:rPr>
          <w:rFonts w:ascii="Arial" w:hAnsi="Arial" w:cs="Arial"/>
          <w:sz w:val="18"/>
          <w:szCs w:val="18"/>
        </w:rPr>
        <w:t>--------</w:t>
      </w:r>
    </w:p>
    <w:p w:rsidR="001365CD" w:rsidRDefault="00500C7B" w:rsidP="00D3549D">
      <w:pPr>
        <w:autoSpaceDE w:val="0"/>
        <w:autoSpaceDN w:val="0"/>
        <w:adjustRightInd w:val="0"/>
        <w:jc w:val="both"/>
        <w:rPr>
          <w:rFonts w:ascii="Arial" w:hAnsi="Arial" w:cs="Arial"/>
        </w:rPr>
      </w:pPr>
      <w:r w:rsidRPr="00C032B8">
        <w:rPr>
          <w:noProof/>
          <w:lang w:val="es-MX" w:eastAsia="es-MX"/>
        </w:rPr>
        <w:drawing>
          <wp:inline distT="0" distB="0" distL="0" distR="0">
            <wp:extent cx="5612130" cy="3594668"/>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594668"/>
                    </a:xfrm>
                    <a:prstGeom prst="rect">
                      <a:avLst/>
                    </a:prstGeom>
                    <a:noFill/>
                    <a:ln>
                      <a:noFill/>
                    </a:ln>
                  </pic:spPr>
                </pic:pic>
              </a:graphicData>
            </a:graphic>
          </wp:inline>
        </w:drawing>
      </w:r>
    </w:p>
    <w:p w:rsidR="00423A86" w:rsidRPr="003039F6" w:rsidRDefault="00423A86" w:rsidP="00D3549D">
      <w:pPr>
        <w:autoSpaceDE w:val="0"/>
        <w:autoSpaceDN w:val="0"/>
        <w:adjustRightInd w:val="0"/>
        <w:jc w:val="both"/>
        <w:rPr>
          <w:rFonts w:ascii="Arial" w:hAnsi="Arial" w:cs="Arial"/>
          <w:color w:val="000000"/>
          <w:sz w:val="18"/>
          <w:szCs w:val="18"/>
        </w:rPr>
      </w:pPr>
      <w:r w:rsidRPr="00933027">
        <w:rPr>
          <w:rFonts w:ascii="Arial" w:hAnsi="Arial" w:cs="Arial"/>
        </w:rPr>
        <w:t>-------------------------------------------------------------------------------------------------------------------</w:t>
      </w:r>
      <w:r w:rsidR="006C5CCC">
        <w:rPr>
          <w:rFonts w:ascii="Arial" w:hAnsi="Arial" w:cs="Arial"/>
        </w:rPr>
        <w:t>-----------------</w:t>
      </w:r>
    </w:p>
    <w:p w:rsidR="00423A86" w:rsidRPr="00D3549D" w:rsidRDefault="00423A86" w:rsidP="00D3549D">
      <w:pPr>
        <w:autoSpaceDE w:val="0"/>
        <w:autoSpaceDN w:val="0"/>
        <w:adjustRightInd w:val="0"/>
        <w:jc w:val="both"/>
        <w:rPr>
          <w:rFonts w:ascii="Arial" w:hAnsi="Arial" w:cs="Arial"/>
          <w:sz w:val="18"/>
          <w:szCs w:val="18"/>
          <w:lang w:val="es-MX"/>
        </w:rPr>
      </w:pPr>
      <w:r>
        <w:rPr>
          <w:rFonts w:ascii="Arial" w:hAnsi="Arial" w:cs="Arial"/>
          <w:color w:val="000000"/>
          <w:sz w:val="18"/>
          <w:szCs w:val="18"/>
        </w:rPr>
        <w:t xml:space="preserve">De conformidad con el artículo </w:t>
      </w:r>
      <w:r w:rsidRPr="00D36190">
        <w:rPr>
          <w:rFonts w:ascii="Arial" w:hAnsi="Arial" w:cs="Arial"/>
          <w:color w:val="000000"/>
          <w:sz w:val="18"/>
          <w:szCs w:val="18"/>
        </w:rPr>
        <w:t>36</w:t>
      </w:r>
      <w:r>
        <w:rPr>
          <w:rFonts w:ascii="Arial" w:hAnsi="Arial" w:cs="Arial"/>
          <w:color w:val="000000"/>
          <w:sz w:val="18"/>
          <w:szCs w:val="18"/>
        </w:rPr>
        <w:t xml:space="preserve"> y 43</w:t>
      </w:r>
      <w:r w:rsidRPr="00D36190">
        <w:rPr>
          <w:rFonts w:ascii="Arial" w:hAnsi="Arial" w:cs="Arial"/>
          <w:color w:val="000000"/>
          <w:sz w:val="18"/>
          <w:szCs w:val="18"/>
        </w:rPr>
        <w:t xml:space="preserve"> de la Ley y </w:t>
      </w:r>
      <w:r>
        <w:rPr>
          <w:rFonts w:ascii="Arial" w:hAnsi="Arial" w:cs="Arial"/>
          <w:color w:val="000000"/>
          <w:sz w:val="18"/>
          <w:szCs w:val="18"/>
        </w:rPr>
        <w:t xml:space="preserve">el </w:t>
      </w:r>
      <w:r w:rsidRPr="00D36190">
        <w:rPr>
          <w:rFonts w:ascii="Arial" w:hAnsi="Arial" w:cs="Arial"/>
          <w:color w:val="000000"/>
          <w:sz w:val="18"/>
          <w:szCs w:val="18"/>
        </w:rPr>
        <w:t>artículo 51 de su Reglamento</w:t>
      </w:r>
      <w:r>
        <w:rPr>
          <w:rFonts w:ascii="Arial" w:hAnsi="Arial" w:cs="Arial"/>
          <w:color w:val="000000"/>
          <w:sz w:val="18"/>
          <w:szCs w:val="18"/>
        </w:rPr>
        <w:t xml:space="preserve">, </w:t>
      </w:r>
      <w:r w:rsidRPr="00D36190">
        <w:rPr>
          <w:rFonts w:ascii="Arial" w:hAnsi="Arial" w:cs="Arial"/>
          <w:color w:val="000000"/>
          <w:sz w:val="18"/>
          <w:szCs w:val="18"/>
        </w:rPr>
        <w:t xml:space="preserve">de conformidad a lo establecido en el numeral IV, V, VI y IX de las bases que norman esta </w:t>
      </w:r>
      <w:r>
        <w:rPr>
          <w:rFonts w:ascii="Arial" w:hAnsi="Arial" w:cs="Arial"/>
          <w:color w:val="000000"/>
          <w:sz w:val="18"/>
          <w:szCs w:val="18"/>
        </w:rPr>
        <w:t>Invitación</w:t>
      </w:r>
      <w:r w:rsidRPr="00D36190">
        <w:rPr>
          <w:rFonts w:ascii="Arial" w:hAnsi="Arial" w:cs="Arial"/>
          <w:color w:val="000000"/>
          <w:sz w:val="18"/>
          <w:szCs w:val="18"/>
        </w:rPr>
        <w:t>, se realizó el análisis detallado  de las proposiciones (documentación administrativa, propuesta técnica y económica), con los requisitos solicitados en la convocatoria y la junta de aclaraciones, para la adquisición de bienes requerid</w:t>
      </w:r>
      <w:r w:rsidR="005D55EB">
        <w:rPr>
          <w:rFonts w:ascii="Arial" w:hAnsi="Arial" w:cs="Arial"/>
          <w:color w:val="000000"/>
          <w:sz w:val="18"/>
          <w:szCs w:val="18"/>
        </w:rPr>
        <w:t>os en el presente procedimiento, p</w:t>
      </w:r>
      <w:r w:rsidRPr="00D36190">
        <w:rPr>
          <w:rFonts w:ascii="Arial" w:hAnsi="Arial" w:cs="Arial"/>
          <w:color w:val="000000"/>
          <w:sz w:val="18"/>
          <w:szCs w:val="18"/>
        </w:rPr>
        <w:t xml:space="preserve">or lo que se </w:t>
      </w:r>
      <w:r>
        <w:rPr>
          <w:rFonts w:ascii="Arial" w:hAnsi="Arial" w:cs="Arial"/>
          <w:color w:val="000000"/>
          <w:sz w:val="18"/>
          <w:szCs w:val="18"/>
        </w:rPr>
        <w:t>determina el siguiente</w:t>
      </w:r>
      <w:r w:rsidRPr="00D36190">
        <w:rPr>
          <w:rFonts w:ascii="Arial" w:hAnsi="Arial" w:cs="Arial"/>
          <w:color w:val="000000"/>
          <w:sz w:val="18"/>
          <w:szCs w:val="18"/>
        </w:rPr>
        <w:t xml:space="preserve">: </w:t>
      </w:r>
      <w:r w:rsidRPr="00933027">
        <w:rPr>
          <w:rFonts w:ascii="Arial" w:hAnsi="Arial" w:cs="Arial"/>
        </w:rPr>
        <w:t>---------------------------------------------------</w:t>
      </w:r>
      <w:r>
        <w:rPr>
          <w:rFonts w:ascii="Arial" w:hAnsi="Arial" w:cs="Arial"/>
        </w:rPr>
        <w:t>----</w:t>
      </w:r>
      <w:r w:rsidRPr="00933027">
        <w:rPr>
          <w:rFonts w:ascii="Arial" w:hAnsi="Arial" w:cs="Arial"/>
        </w:rPr>
        <w:t>--------------</w:t>
      </w:r>
    </w:p>
    <w:p w:rsidR="00423A86" w:rsidRDefault="00423A86" w:rsidP="00423A86">
      <w:pPr>
        <w:autoSpaceDE w:val="0"/>
        <w:autoSpaceDN w:val="0"/>
        <w:adjustRightInd w:val="0"/>
        <w:jc w:val="both"/>
        <w:rPr>
          <w:rFonts w:ascii="Arial" w:hAnsi="Arial" w:cs="Arial"/>
          <w:sz w:val="18"/>
          <w:szCs w:val="18"/>
          <w:lang w:val="es-MX"/>
        </w:rPr>
      </w:pPr>
      <w:r w:rsidRPr="00933027">
        <w:rPr>
          <w:rFonts w:ascii="Arial" w:hAnsi="Arial" w:cs="Arial"/>
        </w:rPr>
        <w:lastRenderedPageBreak/>
        <w:t>-------------------------------------------------</w:t>
      </w:r>
      <w:r w:rsidRPr="000E00C7">
        <w:rPr>
          <w:rFonts w:ascii="Arial" w:hAnsi="Arial" w:cs="Arial"/>
          <w:szCs w:val="18"/>
          <w:lang w:val="es-MX"/>
        </w:rPr>
        <w:t>--------------</w:t>
      </w:r>
      <w:r>
        <w:rPr>
          <w:rFonts w:ascii="Arial" w:hAnsi="Arial" w:cs="Arial"/>
          <w:b/>
          <w:color w:val="000000"/>
          <w:sz w:val="18"/>
          <w:szCs w:val="18"/>
        </w:rPr>
        <w:t>ANÁLISIS</w:t>
      </w:r>
      <w:r w:rsidRPr="00933027">
        <w:rPr>
          <w:rFonts w:ascii="Arial" w:hAnsi="Arial" w:cs="Arial"/>
        </w:rPr>
        <w:t>---------------------------------------------------</w:t>
      </w:r>
      <w:r>
        <w:rPr>
          <w:rFonts w:ascii="Arial" w:hAnsi="Arial" w:cs="Arial"/>
        </w:rPr>
        <w:t>-----</w:t>
      </w:r>
      <w:r w:rsidRPr="00940207">
        <w:rPr>
          <w:rFonts w:ascii="Arial" w:hAnsi="Arial" w:cs="Arial"/>
          <w:sz w:val="18"/>
          <w:szCs w:val="18"/>
          <w:lang w:val="es-MX"/>
        </w:rPr>
        <w:t xml:space="preserve"> </w:t>
      </w:r>
    </w:p>
    <w:p w:rsidR="00D3549D" w:rsidRDefault="00423A86" w:rsidP="00FF2D93">
      <w:pPr>
        <w:jc w:val="both"/>
        <w:rPr>
          <w:rFonts w:ascii="Arial" w:hAnsi="Arial" w:cs="Arial"/>
          <w:color w:val="000000"/>
          <w:sz w:val="16"/>
          <w:szCs w:val="16"/>
        </w:rPr>
      </w:pPr>
      <w:r w:rsidRPr="00933027">
        <w:rPr>
          <w:rFonts w:ascii="Arial" w:hAnsi="Arial" w:cs="Arial"/>
        </w:rPr>
        <w:t>-----------------------------------------------------------------------------------------------------------------------------</w:t>
      </w:r>
      <w:r w:rsidR="000E00C7">
        <w:rPr>
          <w:rFonts w:ascii="Arial" w:hAnsi="Arial" w:cs="Arial"/>
          <w:szCs w:val="18"/>
        </w:rPr>
        <w:t>-------</w:t>
      </w:r>
      <w:r w:rsidR="008D5194" w:rsidRPr="008D5194">
        <w:rPr>
          <w:rFonts w:ascii="Arial" w:hAnsi="Arial" w:cs="Arial"/>
          <w:color w:val="000000"/>
          <w:sz w:val="16"/>
          <w:szCs w:val="16"/>
        </w:rPr>
        <w:t xml:space="preserve"> </w:t>
      </w:r>
    </w:p>
    <w:p w:rsidR="00FF2D93" w:rsidRDefault="008D5194" w:rsidP="008D5194">
      <w:pPr>
        <w:pStyle w:val="Sangradetextonormal"/>
        <w:pBdr>
          <w:bottom w:val="single" w:sz="6" w:space="1" w:color="auto"/>
        </w:pBdr>
        <w:ind w:left="0"/>
        <w:jc w:val="both"/>
        <w:rPr>
          <w:rFonts w:ascii="Arial" w:hAnsi="Arial" w:cs="Arial"/>
          <w:sz w:val="18"/>
          <w:szCs w:val="16"/>
        </w:rPr>
      </w:pPr>
      <w:r w:rsidRPr="00FF2D93">
        <w:rPr>
          <w:rFonts w:ascii="Arial" w:hAnsi="Arial" w:cs="Arial"/>
          <w:sz w:val="18"/>
          <w:szCs w:val="16"/>
        </w:rPr>
        <w:t xml:space="preserve">Acorde a la información documental presentada por los </w:t>
      </w:r>
      <w:r w:rsidR="005D55EB">
        <w:rPr>
          <w:rFonts w:ascii="Arial" w:hAnsi="Arial" w:cs="Arial"/>
          <w:sz w:val="18"/>
          <w:szCs w:val="16"/>
        </w:rPr>
        <w:t>invitados</w:t>
      </w:r>
      <w:r w:rsidRPr="00FF2D93">
        <w:rPr>
          <w:rFonts w:ascii="Arial" w:hAnsi="Arial" w:cs="Arial"/>
          <w:sz w:val="18"/>
          <w:szCs w:val="16"/>
        </w:rPr>
        <w:t xml:space="preserve"> y de conformidad a lo dispuesto por el artículo 36 y 36 Bis de la L.A.A.S.S.P., y el numeral V, VI y IX de la convocatoria señalada al rubro, por tratarse de un procedimiento de aplicación del criterio binario se evaluaron técnicamente a las dos propuestas (por partida) cuyo precio resultó ser el más bajo, cuando no resultaron solventes se procedió a la evaluación de las que le seguían en precio. -------------------------------------------------------------------------------------------------------------------------------------------------------------------------------------------------------</w:t>
      </w:r>
      <w:r w:rsidR="005749A5" w:rsidRPr="00FF2D93">
        <w:rPr>
          <w:rFonts w:ascii="Arial" w:hAnsi="Arial" w:cs="Arial"/>
          <w:sz w:val="18"/>
          <w:szCs w:val="16"/>
        </w:rPr>
        <w:t>-------------------</w:t>
      </w:r>
      <w:r w:rsidR="00FF2D93">
        <w:rPr>
          <w:rFonts w:ascii="Arial" w:hAnsi="Arial" w:cs="Arial"/>
          <w:sz w:val="18"/>
          <w:szCs w:val="16"/>
        </w:rPr>
        <w:t>---------------------------------------------------</w:t>
      </w:r>
    </w:p>
    <w:p w:rsidR="008D5194" w:rsidRPr="00FF2D93" w:rsidRDefault="008D5194" w:rsidP="008D5194">
      <w:pPr>
        <w:pStyle w:val="Sangradetextonormal"/>
        <w:pBdr>
          <w:bottom w:val="single" w:sz="6" w:space="1" w:color="auto"/>
        </w:pBdr>
        <w:ind w:left="0"/>
        <w:jc w:val="both"/>
        <w:rPr>
          <w:rFonts w:ascii="Arial" w:hAnsi="Arial" w:cs="Arial"/>
          <w:sz w:val="18"/>
          <w:szCs w:val="16"/>
        </w:rPr>
      </w:pPr>
      <w:r w:rsidRPr="00FF2D93">
        <w:rPr>
          <w:rFonts w:ascii="Arial" w:hAnsi="Arial" w:cs="Arial"/>
          <w:sz w:val="18"/>
          <w:szCs w:val="16"/>
        </w:rPr>
        <w:t>Como consecuencia de todo lo anterior, resultó el siguiente: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0"/>
        <w:gridCol w:w="1418"/>
        <w:gridCol w:w="6990"/>
      </w:tblGrid>
      <w:tr w:rsidR="008D5194" w:rsidRPr="007A20BD" w:rsidTr="00D921FC">
        <w:trPr>
          <w:trHeight w:val="20"/>
          <w:jc w:val="center"/>
        </w:trPr>
        <w:tc>
          <w:tcPr>
            <w:tcW w:w="238" w:type="pct"/>
            <w:shd w:val="clear" w:color="auto" w:fill="D9D9D9"/>
            <w:noWrap/>
            <w:vAlign w:val="center"/>
            <w:hideMark/>
          </w:tcPr>
          <w:p w:rsidR="008D5194" w:rsidRPr="007A20BD" w:rsidRDefault="008D5194" w:rsidP="00D921FC">
            <w:pPr>
              <w:jc w:val="center"/>
              <w:rPr>
                <w:rFonts w:ascii="Arial" w:hAnsi="Arial" w:cs="Arial"/>
                <w:sz w:val="14"/>
                <w:szCs w:val="16"/>
              </w:rPr>
            </w:pPr>
          </w:p>
        </w:tc>
        <w:tc>
          <w:tcPr>
            <w:tcW w:w="803" w:type="pct"/>
            <w:shd w:val="clear" w:color="auto" w:fill="D9D9D9"/>
            <w:noWrap/>
            <w:vAlign w:val="center"/>
            <w:hideMark/>
          </w:tcPr>
          <w:p w:rsidR="008D5194" w:rsidRPr="00EB5888" w:rsidRDefault="008D5194" w:rsidP="00D921FC">
            <w:pPr>
              <w:jc w:val="center"/>
              <w:rPr>
                <w:rFonts w:ascii="Arial" w:hAnsi="Arial" w:cs="Arial"/>
                <w:b/>
                <w:bCs/>
                <w:sz w:val="16"/>
                <w:szCs w:val="16"/>
              </w:rPr>
            </w:pPr>
            <w:r w:rsidRPr="00EB5888">
              <w:rPr>
                <w:rFonts w:ascii="Arial" w:hAnsi="Arial" w:cs="Arial"/>
                <w:b/>
                <w:bCs/>
                <w:sz w:val="16"/>
                <w:szCs w:val="16"/>
              </w:rPr>
              <w:t>Licitante</w:t>
            </w:r>
          </w:p>
        </w:tc>
        <w:tc>
          <w:tcPr>
            <w:tcW w:w="3959" w:type="pct"/>
            <w:shd w:val="clear" w:color="auto" w:fill="D9D9D9"/>
            <w:vAlign w:val="center"/>
          </w:tcPr>
          <w:p w:rsidR="008D5194" w:rsidRPr="007A20BD" w:rsidRDefault="008D5194" w:rsidP="00D921FC">
            <w:pPr>
              <w:jc w:val="center"/>
              <w:rPr>
                <w:rFonts w:ascii="Arial" w:hAnsi="Arial" w:cs="Arial"/>
                <w:b/>
                <w:bCs/>
                <w:sz w:val="14"/>
                <w:szCs w:val="16"/>
              </w:rPr>
            </w:pPr>
            <w:r w:rsidRPr="007A20BD">
              <w:rPr>
                <w:rFonts w:ascii="Arial" w:hAnsi="Arial" w:cs="Arial"/>
                <w:b/>
                <w:bCs/>
                <w:sz w:val="14"/>
                <w:szCs w:val="16"/>
              </w:rPr>
              <w:t>Partidas ofertadas  y revisión técnica (1er y 2° lugar)</w:t>
            </w:r>
          </w:p>
        </w:tc>
      </w:tr>
      <w:tr w:rsidR="00A766AA" w:rsidRPr="00154F13" w:rsidTr="00A766AA">
        <w:trPr>
          <w:trHeight w:val="237"/>
          <w:jc w:val="center"/>
        </w:trPr>
        <w:tc>
          <w:tcPr>
            <w:tcW w:w="238" w:type="pct"/>
            <w:vMerge w:val="restart"/>
            <w:noWrap/>
            <w:vAlign w:val="center"/>
            <w:hideMark/>
          </w:tcPr>
          <w:p w:rsidR="00A766AA" w:rsidRPr="007C177E" w:rsidRDefault="00A766AA" w:rsidP="008A0F41">
            <w:pPr>
              <w:jc w:val="center"/>
              <w:rPr>
                <w:rFonts w:ascii="Arial" w:hAnsi="Arial" w:cs="Arial"/>
                <w:sz w:val="18"/>
                <w:szCs w:val="18"/>
              </w:rPr>
            </w:pPr>
            <w:r w:rsidRPr="007C177E">
              <w:rPr>
                <w:rFonts w:ascii="Arial" w:hAnsi="Arial" w:cs="Arial"/>
                <w:sz w:val="18"/>
                <w:szCs w:val="18"/>
              </w:rPr>
              <w:t>1</w:t>
            </w:r>
          </w:p>
        </w:tc>
        <w:tc>
          <w:tcPr>
            <w:tcW w:w="803" w:type="pct"/>
            <w:vMerge w:val="restart"/>
            <w:noWrap/>
            <w:vAlign w:val="center"/>
            <w:hideMark/>
          </w:tcPr>
          <w:p w:rsidR="00A766AA" w:rsidRPr="00EB5888" w:rsidRDefault="00A766AA" w:rsidP="008A0F41">
            <w:pPr>
              <w:rPr>
                <w:sz w:val="16"/>
                <w:szCs w:val="16"/>
              </w:rPr>
            </w:pPr>
            <w:r w:rsidRPr="00500C7B">
              <w:rPr>
                <w:rFonts w:ascii="Calibri" w:hAnsi="Calibri"/>
                <w:sz w:val="18"/>
                <w:szCs w:val="18"/>
              </w:rPr>
              <w:t>INGENIERIA DE SISTEMAS DE AGUASCALIENTES, S.A. DE C.V.</w:t>
            </w:r>
          </w:p>
        </w:tc>
        <w:tc>
          <w:tcPr>
            <w:tcW w:w="3959" w:type="pct"/>
            <w:vAlign w:val="center"/>
          </w:tcPr>
          <w:p w:rsidR="00A766AA" w:rsidRPr="003B3340" w:rsidRDefault="00A766AA" w:rsidP="00A766AA">
            <w:pPr>
              <w:jc w:val="both"/>
              <w:rPr>
                <w:rFonts w:ascii="Arial" w:hAnsi="Arial" w:cs="Arial"/>
                <w:b/>
                <w:sz w:val="14"/>
                <w:szCs w:val="14"/>
              </w:rPr>
            </w:pPr>
            <w:r w:rsidRPr="003B3340">
              <w:rPr>
                <w:rFonts w:ascii="Arial" w:hAnsi="Arial" w:cs="Arial"/>
                <w:sz w:val="14"/>
                <w:szCs w:val="14"/>
              </w:rPr>
              <w:t>Oferta la</w:t>
            </w:r>
            <w:r w:rsidR="00C438EE" w:rsidRPr="003B3340">
              <w:rPr>
                <w:rFonts w:ascii="Arial" w:hAnsi="Arial" w:cs="Arial"/>
                <w:sz w:val="14"/>
                <w:szCs w:val="14"/>
              </w:rPr>
              <w:t>s</w:t>
            </w:r>
            <w:r w:rsidRPr="003B3340">
              <w:rPr>
                <w:rFonts w:ascii="Arial" w:hAnsi="Arial" w:cs="Arial"/>
                <w:sz w:val="14"/>
                <w:szCs w:val="14"/>
              </w:rPr>
              <w:t xml:space="preserve"> partida</w:t>
            </w:r>
            <w:r w:rsidR="00C438EE" w:rsidRPr="003B3340">
              <w:rPr>
                <w:rFonts w:ascii="Arial" w:hAnsi="Arial" w:cs="Arial"/>
                <w:sz w:val="14"/>
                <w:szCs w:val="14"/>
              </w:rPr>
              <w:t>s</w:t>
            </w:r>
            <w:r w:rsidRPr="003B3340">
              <w:rPr>
                <w:rFonts w:ascii="Arial" w:hAnsi="Arial" w:cs="Arial"/>
                <w:sz w:val="14"/>
                <w:szCs w:val="14"/>
              </w:rPr>
              <w:t>: 3 y 4</w:t>
            </w:r>
          </w:p>
        </w:tc>
      </w:tr>
      <w:tr w:rsidR="00A766AA" w:rsidRPr="00154F13" w:rsidTr="00EE477C">
        <w:trPr>
          <w:trHeight w:val="234"/>
          <w:jc w:val="center"/>
        </w:trPr>
        <w:tc>
          <w:tcPr>
            <w:tcW w:w="238" w:type="pct"/>
            <w:vMerge/>
            <w:noWrap/>
            <w:vAlign w:val="center"/>
          </w:tcPr>
          <w:p w:rsidR="00A766AA" w:rsidRPr="007C177E" w:rsidRDefault="00A766AA" w:rsidP="00A766AA">
            <w:pPr>
              <w:jc w:val="center"/>
              <w:rPr>
                <w:rFonts w:ascii="Arial" w:hAnsi="Arial" w:cs="Arial"/>
                <w:sz w:val="18"/>
                <w:szCs w:val="18"/>
              </w:rPr>
            </w:pPr>
          </w:p>
        </w:tc>
        <w:tc>
          <w:tcPr>
            <w:tcW w:w="803" w:type="pct"/>
            <w:vMerge/>
            <w:noWrap/>
            <w:vAlign w:val="center"/>
          </w:tcPr>
          <w:p w:rsidR="00A766AA" w:rsidRPr="00500C7B" w:rsidRDefault="00A766AA" w:rsidP="00A766AA">
            <w:pPr>
              <w:rPr>
                <w:rFonts w:ascii="Calibri" w:hAnsi="Calibri"/>
                <w:sz w:val="18"/>
                <w:szCs w:val="18"/>
              </w:rPr>
            </w:pPr>
          </w:p>
        </w:tc>
        <w:tc>
          <w:tcPr>
            <w:tcW w:w="3959" w:type="pct"/>
            <w:vAlign w:val="center"/>
          </w:tcPr>
          <w:p w:rsidR="00A766AA" w:rsidRPr="003B3340" w:rsidRDefault="00A766AA" w:rsidP="003E72FE">
            <w:pPr>
              <w:jc w:val="both"/>
              <w:rPr>
                <w:rFonts w:ascii="Arial" w:hAnsi="Arial" w:cs="Arial"/>
                <w:sz w:val="14"/>
                <w:szCs w:val="14"/>
              </w:rPr>
            </w:pPr>
            <w:r w:rsidRPr="003B3340">
              <w:rPr>
                <w:rFonts w:ascii="Arial" w:hAnsi="Arial" w:cs="Arial"/>
                <w:b/>
                <w:sz w:val="14"/>
                <w:szCs w:val="14"/>
              </w:rPr>
              <w:t xml:space="preserve">Análisis técnico apartado VI: </w:t>
            </w:r>
            <w:r w:rsidRPr="003B3340">
              <w:rPr>
                <w:rFonts w:ascii="Arial" w:hAnsi="Arial" w:cs="Arial"/>
                <w:sz w:val="14"/>
                <w:szCs w:val="14"/>
              </w:rPr>
              <w:t xml:space="preserve">En el dictamen técnico emitido por el área requirente y técnica, respecto de la documentación presentada por el </w:t>
            </w:r>
            <w:r w:rsidR="003E72FE" w:rsidRPr="003B3340">
              <w:rPr>
                <w:rFonts w:ascii="Arial" w:hAnsi="Arial" w:cs="Arial"/>
                <w:sz w:val="14"/>
                <w:szCs w:val="14"/>
              </w:rPr>
              <w:t>invitado</w:t>
            </w:r>
            <w:r w:rsidRPr="003B3340">
              <w:rPr>
                <w:rFonts w:ascii="Arial" w:hAnsi="Arial" w:cs="Arial"/>
                <w:sz w:val="14"/>
                <w:szCs w:val="14"/>
              </w:rPr>
              <w:t xml:space="preserve">, se establece que cumple en los </w:t>
            </w:r>
            <w:r w:rsidR="003E72FE" w:rsidRPr="003B3340">
              <w:rPr>
                <w:rFonts w:ascii="Arial" w:hAnsi="Arial" w:cs="Arial"/>
                <w:sz w:val="14"/>
                <w:szCs w:val="14"/>
              </w:rPr>
              <w:t>numerales:</w:t>
            </w:r>
            <w:r w:rsidRPr="003B3340">
              <w:rPr>
                <w:rFonts w:ascii="Arial" w:hAnsi="Arial" w:cs="Arial"/>
                <w:sz w:val="14"/>
                <w:szCs w:val="14"/>
              </w:rPr>
              <w:t xml:space="preserve"> 6, </w:t>
            </w:r>
            <w:r w:rsidR="003E72FE" w:rsidRPr="003B3340">
              <w:rPr>
                <w:rFonts w:ascii="Arial" w:hAnsi="Arial" w:cs="Arial"/>
                <w:sz w:val="14"/>
                <w:szCs w:val="14"/>
              </w:rPr>
              <w:t>7</w:t>
            </w:r>
            <w:r w:rsidRPr="003B3340">
              <w:rPr>
                <w:rFonts w:ascii="Arial" w:hAnsi="Arial" w:cs="Arial"/>
                <w:sz w:val="14"/>
                <w:szCs w:val="14"/>
              </w:rPr>
              <w:t xml:space="preserve">, </w:t>
            </w:r>
            <w:r w:rsidR="003E72FE" w:rsidRPr="003B3340">
              <w:rPr>
                <w:rFonts w:ascii="Arial" w:hAnsi="Arial" w:cs="Arial"/>
                <w:sz w:val="14"/>
                <w:szCs w:val="14"/>
              </w:rPr>
              <w:t>8 únicamente en el tiempo de entrega para la partida “3”</w:t>
            </w:r>
            <w:r w:rsidRPr="003B3340">
              <w:rPr>
                <w:rFonts w:ascii="Arial" w:hAnsi="Arial" w:cs="Arial"/>
                <w:sz w:val="14"/>
                <w:szCs w:val="14"/>
              </w:rPr>
              <w:t xml:space="preserve">, </w:t>
            </w:r>
            <w:r w:rsidR="003E72FE" w:rsidRPr="003B3340">
              <w:rPr>
                <w:rFonts w:ascii="Arial" w:hAnsi="Arial" w:cs="Arial"/>
                <w:sz w:val="14"/>
                <w:szCs w:val="14"/>
              </w:rPr>
              <w:t>9</w:t>
            </w:r>
            <w:r w:rsidRPr="003B3340">
              <w:rPr>
                <w:rFonts w:ascii="Arial" w:hAnsi="Arial" w:cs="Arial"/>
                <w:sz w:val="14"/>
                <w:szCs w:val="14"/>
              </w:rPr>
              <w:t xml:space="preserve">, </w:t>
            </w:r>
            <w:r w:rsidR="003E72FE" w:rsidRPr="003B3340">
              <w:rPr>
                <w:rFonts w:ascii="Arial" w:hAnsi="Arial" w:cs="Arial"/>
                <w:sz w:val="14"/>
                <w:szCs w:val="14"/>
              </w:rPr>
              <w:t>10</w:t>
            </w:r>
            <w:r w:rsidRPr="003B3340">
              <w:rPr>
                <w:rFonts w:ascii="Arial" w:hAnsi="Arial" w:cs="Arial"/>
                <w:sz w:val="14"/>
                <w:szCs w:val="14"/>
              </w:rPr>
              <w:t>, y 1</w:t>
            </w:r>
            <w:r w:rsidR="003E72FE" w:rsidRPr="003B3340">
              <w:rPr>
                <w:rFonts w:ascii="Arial" w:hAnsi="Arial" w:cs="Arial"/>
                <w:sz w:val="14"/>
                <w:szCs w:val="14"/>
              </w:rPr>
              <w:t>1</w:t>
            </w:r>
            <w:r w:rsidRPr="003B3340">
              <w:rPr>
                <w:rFonts w:ascii="Arial" w:hAnsi="Arial" w:cs="Arial"/>
                <w:sz w:val="14"/>
                <w:szCs w:val="14"/>
              </w:rPr>
              <w:t>.</w:t>
            </w:r>
          </w:p>
          <w:p w:rsidR="005D55EB" w:rsidRPr="003B3340" w:rsidRDefault="005D55EB" w:rsidP="003E72FE">
            <w:pPr>
              <w:jc w:val="both"/>
              <w:rPr>
                <w:rFonts w:ascii="Arial" w:hAnsi="Arial" w:cs="Arial"/>
                <w:sz w:val="14"/>
                <w:szCs w:val="14"/>
              </w:rPr>
            </w:pPr>
          </w:p>
          <w:p w:rsidR="00DD198D" w:rsidRPr="005457BE" w:rsidRDefault="003B3340" w:rsidP="003E72FE">
            <w:pPr>
              <w:jc w:val="both"/>
              <w:rPr>
                <w:rFonts w:ascii="Arial" w:hAnsi="Arial" w:cs="Arial"/>
                <w:b/>
                <w:sz w:val="14"/>
                <w:szCs w:val="14"/>
              </w:rPr>
            </w:pPr>
            <w:r w:rsidRPr="005457BE">
              <w:rPr>
                <w:rFonts w:ascii="Arial" w:hAnsi="Arial" w:cs="Arial"/>
                <w:b/>
                <w:sz w:val="14"/>
                <w:szCs w:val="14"/>
              </w:rPr>
              <w:t>En la</w:t>
            </w:r>
            <w:r w:rsidR="00DD198D" w:rsidRPr="005457BE">
              <w:rPr>
                <w:rFonts w:ascii="Arial" w:hAnsi="Arial" w:cs="Arial"/>
                <w:b/>
                <w:sz w:val="14"/>
                <w:szCs w:val="14"/>
              </w:rPr>
              <w:t xml:space="preserve"> revisión técnica </w:t>
            </w:r>
            <w:r w:rsidRPr="005457BE">
              <w:rPr>
                <w:rFonts w:ascii="Arial" w:hAnsi="Arial" w:cs="Arial"/>
                <w:b/>
                <w:sz w:val="14"/>
                <w:szCs w:val="14"/>
              </w:rPr>
              <w:t>de la partida 4 se encontró lo siguiente</w:t>
            </w:r>
            <w:r w:rsidR="00DD198D" w:rsidRPr="005457BE">
              <w:rPr>
                <w:rFonts w:ascii="Arial" w:hAnsi="Arial" w:cs="Arial"/>
                <w:b/>
                <w:sz w:val="14"/>
                <w:szCs w:val="14"/>
              </w:rPr>
              <w:t>:</w:t>
            </w:r>
          </w:p>
          <w:p w:rsidR="003B3340" w:rsidRPr="005457BE" w:rsidRDefault="003B3340" w:rsidP="003E72FE">
            <w:pPr>
              <w:jc w:val="both"/>
              <w:rPr>
                <w:rFonts w:ascii="Arial" w:hAnsi="Arial" w:cs="Arial"/>
                <w:b/>
                <w:sz w:val="14"/>
                <w:szCs w:val="14"/>
              </w:rPr>
            </w:pPr>
          </w:p>
          <w:p w:rsidR="003B3340" w:rsidRPr="005457BE" w:rsidRDefault="003B3340" w:rsidP="003E72FE">
            <w:pPr>
              <w:jc w:val="both"/>
              <w:rPr>
                <w:rFonts w:ascii="Arial" w:hAnsi="Arial" w:cs="Arial"/>
                <w:sz w:val="14"/>
                <w:szCs w:val="14"/>
              </w:rPr>
            </w:pPr>
            <w:r w:rsidRPr="005457BE">
              <w:rPr>
                <w:rFonts w:ascii="Arial" w:hAnsi="Arial" w:cs="Arial"/>
                <w:sz w:val="14"/>
                <w:szCs w:val="14"/>
              </w:rPr>
              <w:t>La convocante solicitó:</w:t>
            </w:r>
          </w:p>
          <w:p w:rsidR="003B3340" w:rsidRPr="005457BE" w:rsidRDefault="003B3340" w:rsidP="003E72FE">
            <w:pPr>
              <w:jc w:val="both"/>
              <w:rPr>
                <w:rFonts w:ascii="Arial" w:hAnsi="Arial" w:cs="Arial"/>
                <w:sz w:val="14"/>
                <w:szCs w:val="14"/>
              </w:rPr>
            </w:pPr>
          </w:p>
          <w:p w:rsidR="003B3340" w:rsidRPr="005457BE" w:rsidRDefault="003B3340" w:rsidP="003E72FE">
            <w:pPr>
              <w:jc w:val="both"/>
              <w:rPr>
                <w:rFonts w:ascii="Arial" w:hAnsi="Arial" w:cs="Arial"/>
                <w:i/>
                <w:sz w:val="14"/>
                <w:szCs w:val="14"/>
              </w:rPr>
            </w:pPr>
            <w:r w:rsidRPr="003B3340">
              <w:rPr>
                <w:rFonts w:ascii="Arial" w:hAnsi="Arial" w:cs="Arial"/>
                <w:i/>
                <w:sz w:val="14"/>
                <w:szCs w:val="14"/>
              </w:rPr>
              <w:t xml:space="preserve">HP EliteDesk 705 G3. Procesador: APU AMD PRO A10-9700E con gráficos Radeon™ R7 (3 GHz hasta 3,5 GHz, 2 MB de caché, 4 núcleos) Memoria, estándar 8 GB de SDRAM DDR4-2133 (1 x 8 GB) Unidad interna SATA de 500 GB, 7200 rpm GráficosIntegrada: Gráficos AMD Radeon™ R7 Interfaz de red: Tarjeta combinada de conexión inalámbrica de banda </w:t>
            </w:r>
            <w:r w:rsidRPr="005457BE">
              <w:rPr>
                <w:rFonts w:ascii="Arial" w:hAnsi="Arial" w:cs="Arial"/>
                <w:i/>
                <w:sz w:val="14"/>
                <w:szCs w:val="14"/>
              </w:rPr>
              <w:t>simple 802.11ac (1x1) M.2 Intel® 3165. Tamaño de pantalla (diagonal) 54,6 cm (21,5") Panel active área 47,66 x 26,81 cm Relación de aspecto 16:09 Resolución nativa FHD (1920 x 1080 a 60 Hz) Relación de contraste Estático 600:1 Ángulo de visión 90° horizontal 65° vertical Conector de entrada 1 VGA 1 DVI-D (compatible con HDCP)</w:t>
            </w:r>
          </w:p>
          <w:p w:rsidR="00A763B5" w:rsidRPr="005457BE" w:rsidRDefault="00A763B5" w:rsidP="003E72FE">
            <w:pPr>
              <w:jc w:val="both"/>
              <w:rPr>
                <w:rFonts w:ascii="Arial" w:hAnsi="Arial" w:cs="Arial"/>
                <w:sz w:val="14"/>
                <w:szCs w:val="14"/>
              </w:rPr>
            </w:pPr>
          </w:p>
          <w:p w:rsidR="003B3340" w:rsidRPr="005457BE" w:rsidRDefault="003B3340" w:rsidP="003E72FE">
            <w:pPr>
              <w:jc w:val="both"/>
              <w:rPr>
                <w:rFonts w:ascii="Arial" w:hAnsi="Arial" w:cs="Arial"/>
                <w:i/>
                <w:sz w:val="14"/>
                <w:szCs w:val="14"/>
              </w:rPr>
            </w:pPr>
            <w:r w:rsidRPr="005457BE">
              <w:rPr>
                <w:rFonts w:ascii="Arial" w:hAnsi="Arial" w:cs="Arial"/>
                <w:sz w:val="14"/>
                <w:szCs w:val="14"/>
              </w:rPr>
              <w:t>El invitado ofertó:</w:t>
            </w:r>
          </w:p>
          <w:p w:rsidR="003B3340" w:rsidRPr="003B3340" w:rsidRDefault="003B3340" w:rsidP="00DD198D">
            <w:pPr>
              <w:jc w:val="both"/>
              <w:rPr>
                <w:rFonts w:ascii="Arial" w:hAnsi="Arial" w:cs="Arial"/>
                <w:b/>
                <w:sz w:val="14"/>
                <w:szCs w:val="14"/>
                <w:highlight w:val="yellow"/>
              </w:rPr>
            </w:pPr>
          </w:p>
          <w:p w:rsidR="003B3340" w:rsidRPr="003B3340" w:rsidRDefault="003B3340" w:rsidP="003B3340">
            <w:pPr>
              <w:autoSpaceDE w:val="0"/>
              <w:autoSpaceDN w:val="0"/>
              <w:adjustRightInd w:val="0"/>
              <w:spacing w:line="276" w:lineRule="auto"/>
              <w:jc w:val="both"/>
              <w:rPr>
                <w:rFonts w:ascii="Arial" w:hAnsi="Arial" w:cs="Arial"/>
                <w:i/>
                <w:sz w:val="14"/>
                <w:szCs w:val="14"/>
              </w:rPr>
            </w:pPr>
            <w:r w:rsidRPr="003B3340">
              <w:rPr>
                <w:rFonts w:ascii="Arial" w:hAnsi="Arial" w:cs="Arial"/>
                <w:i/>
                <w:sz w:val="14"/>
                <w:szCs w:val="14"/>
              </w:rPr>
              <w:t>Equipo de Cómputo HP EliteDesk 705 G3 SFF</w:t>
            </w:r>
          </w:p>
          <w:p w:rsidR="003B3340" w:rsidRPr="003B3340" w:rsidRDefault="003B3340" w:rsidP="003B3340">
            <w:pPr>
              <w:autoSpaceDE w:val="0"/>
              <w:autoSpaceDN w:val="0"/>
              <w:adjustRightInd w:val="0"/>
              <w:spacing w:line="276" w:lineRule="auto"/>
              <w:jc w:val="both"/>
              <w:rPr>
                <w:rFonts w:ascii="Arial" w:hAnsi="Arial" w:cs="Arial"/>
                <w:i/>
                <w:sz w:val="14"/>
                <w:szCs w:val="14"/>
              </w:rPr>
            </w:pPr>
            <w:r w:rsidRPr="003B3340">
              <w:rPr>
                <w:rFonts w:ascii="Arial" w:hAnsi="Arial" w:cs="Arial"/>
                <w:i/>
                <w:sz w:val="14"/>
                <w:szCs w:val="14"/>
              </w:rPr>
              <w:t>Sistema Operativo Windows 10 HOME 64</w:t>
            </w:r>
          </w:p>
          <w:p w:rsidR="003B3340" w:rsidRPr="003B3340" w:rsidRDefault="003B3340" w:rsidP="003B3340">
            <w:pPr>
              <w:autoSpaceDE w:val="0"/>
              <w:autoSpaceDN w:val="0"/>
              <w:adjustRightInd w:val="0"/>
              <w:spacing w:line="276" w:lineRule="auto"/>
              <w:jc w:val="both"/>
              <w:rPr>
                <w:rFonts w:ascii="Arial" w:hAnsi="Arial" w:cs="Arial"/>
                <w:i/>
                <w:sz w:val="14"/>
                <w:szCs w:val="14"/>
              </w:rPr>
            </w:pPr>
            <w:r w:rsidRPr="003B3340">
              <w:rPr>
                <w:rFonts w:ascii="Arial" w:hAnsi="Arial" w:cs="Arial"/>
                <w:i/>
                <w:sz w:val="14"/>
                <w:szCs w:val="14"/>
              </w:rPr>
              <w:t>Procesador APU AMD PRO A10-9700 con gráficos Radeon R7 (3.5 GHz nativos y hasta 3,8 GHz, 2 MB de caché, 4 núcleos)</w:t>
            </w:r>
          </w:p>
          <w:p w:rsidR="003B3340" w:rsidRPr="003B3340" w:rsidRDefault="003B3340" w:rsidP="003B3340">
            <w:pPr>
              <w:autoSpaceDE w:val="0"/>
              <w:autoSpaceDN w:val="0"/>
              <w:adjustRightInd w:val="0"/>
              <w:spacing w:line="276" w:lineRule="auto"/>
              <w:jc w:val="both"/>
              <w:rPr>
                <w:rFonts w:ascii="Arial" w:hAnsi="Arial" w:cs="Arial"/>
                <w:i/>
                <w:sz w:val="14"/>
                <w:szCs w:val="14"/>
              </w:rPr>
            </w:pPr>
            <w:r w:rsidRPr="003B3340">
              <w:rPr>
                <w:rFonts w:ascii="Arial" w:hAnsi="Arial" w:cs="Arial"/>
                <w:i/>
                <w:sz w:val="14"/>
                <w:szCs w:val="14"/>
              </w:rPr>
              <w:t>Memoria RAM de 8GB de SDRAM DDR4-2400 (1 x 8 GB) Disco Duro SATA de 1TB a 7200 rpm</w:t>
            </w:r>
          </w:p>
          <w:p w:rsidR="003B3340" w:rsidRPr="003B3340" w:rsidRDefault="003B3340" w:rsidP="003B3340">
            <w:pPr>
              <w:autoSpaceDE w:val="0"/>
              <w:autoSpaceDN w:val="0"/>
              <w:adjustRightInd w:val="0"/>
              <w:spacing w:line="276" w:lineRule="auto"/>
              <w:jc w:val="both"/>
              <w:rPr>
                <w:rFonts w:ascii="Arial" w:hAnsi="Arial" w:cs="Arial"/>
                <w:i/>
                <w:sz w:val="14"/>
                <w:szCs w:val="14"/>
              </w:rPr>
            </w:pPr>
            <w:r w:rsidRPr="003B3340">
              <w:rPr>
                <w:rFonts w:ascii="Arial" w:hAnsi="Arial" w:cs="Arial"/>
                <w:i/>
                <w:sz w:val="14"/>
                <w:szCs w:val="14"/>
              </w:rPr>
              <w:t>Unidad Óptica DVD-RW</w:t>
            </w:r>
          </w:p>
          <w:p w:rsidR="003B3340" w:rsidRPr="003B3340" w:rsidRDefault="003B3340" w:rsidP="003B3340">
            <w:pPr>
              <w:autoSpaceDE w:val="0"/>
              <w:autoSpaceDN w:val="0"/>
              <w:adjustRightInd w:val="0"/>
              <w:spacing w:line="276" w:lineRule="auto"/>
              <w:jc w:val="both"/>
              <w:rPr>
                <w:rFonts w:ascii="Arial" w:hAnsi="Arial" w:cs="Arial"/>
                <w:i/>
                <w:sz w:val="14"/>
                <w:szCs w:val="14"/>
              </w:rPr>
            </w:pPr>
            <w:r w:rsidRPr="003B3340">
              <w:rPr>
                <w:rFonts w:ascii="Arial" w:hAnsi="Arial" w:cs="Arial"/>
                <w:i/>
                <w:sz w:val="14"/>
                <w:szCs w:val="14"/>
              </w:rPr>
              <w:t>Gráficos Integrados AMD Radeon R7</w:t>
            </w:r>
          </w:p>
          <w:p w:rsidR="003B3340" w:rsidRPr="003B3340" w:rsidRDefault="003B3340" w:rsidP="003B3340">
            <w:pPr>
              <w:autoSpaceDE w:val="0"/>
              <w:autoSpaceDN w:val="0"/>
              <w:adjustRightInd w:val="0"/>
              <w:spacing w:line="276" w:lineRule="auto"/>
              <w:jc w:val="both"/>
              <w:rPr>
                <w:rFonts w:ascii="Arial" w:hAnsi="Arial" w:cs="Arial"/>
                <w:i/>
                <w:sz w:val="14"/>
                <w:szCs w:val="14"/>
              </w:rPr>
            </w:pPr>
            <w:r w:rsidRPr="003B3340">
              <w:rPr>
                <w:rFonts w:ascii="Arial" w:hAnsi="Arial" w:cs="Arial"/>
                <w:i/>
                <w:sz w:val="14"/>
                <w:szCs w:val="14"/>
              </w:rPr>
              <w:t>Tamaño de pantalla (diagonal) 54,6 cm</w:t>
            </w:r>
          </w:p>
          <w:p w:rsidR="003B3340" w:rsidRPr="003B3340" w:rsidRDefault="003B3340" w:rsidP="003B3340">
            <w:pPr>
              <w:autoSpaceDE w:val="0"/>
              <w:autoSpaceDN w:val="0"/>
              <w:adjustRightInd w:val="0"/>
              <w:spacing w:line="276" w:lineRule="auto"/>
              <w:jc w:val="both"/>
              <w:rPr>
                <w:rFonts w:ascii="Arial" w:hAnsi="Arial" w:cs="Arial"/>
                <w:i/>
                <w:sz w:val="14"/>
                <w:szCs w:val="14"/>
              </w:rPr>
            </w:pPr>
            <w:r w:rsidRPr="003B3340">
              <w:rPr>
                <w:rFonts w:ascii="Arial" w:hAnsi="Arial" w:cs="Arial"/>
                <w:i/>
                <w:sz w:val="14"/>
                <w:szCs w:val="14"/>
              </w:rPr>
              <w:t>Monitor HP N223v de 21,5 pulgadas con resolución Full HD, panel active área 47,66 x 26,81cm, relación de aspecto</w:t>
            </w:r>
            <w:r w:rsidRPr="003B3340">
              <w:rPr>
                <w:i/>
                <w:sz w:val="14"/>
                <w:szCs w:val="14"/>
              </w:rPr>
              <w:t xml:space="preserve"> </w:t>
            </w:r>
            <w:r w:rsidRPr="003B3340">
              <w:rPr>
                <w:rFonts w:ascii="Arial" w:hAnsi="Arial" w:cs="Arial"/>
                <w:i/>
                <w:sz w:val="14"/>
                <w:szCs w:val="14"/>
              </w:rPr>
              <w:t>16:09, relación de contraste estático 600:1, ángulo de visión 90° horizontal, 65° vertical</w:t>
            </w:r>
          </w:p>
          <w:p w:rsidR="003B3340" w:rsidRPr="003B3340" w:rsidRDefault="003B3340" w:rsidP="003B3340">
            <w:pPr>
              <w:autoSpaceDE w:val="0"/>
              <w:autoSpaceDN w:val="0"/>
              <w:adjustRightInd w:val="0"/>
              <w:spacing w:line="276" w:lineRule="auto"/>
              <w:jc w:val="both"/>
              <w:rPr>
                <w:rFonts w:ascii="Arial" w:hAnsi="Arial" w:cs="Arial"/>
                <w:i/>
                <w:sz w:val="14"/>
                <w:szCs w:val="14"/>
              </w:rPr>
            </w:pPr>
            <w:r w:rsidRPr="003B3340">
              <w:rPr>
                <w:rFonts w:ascii="Arial" w:hAnsi="Arial" w:cs="Arial"/>
                <w:i/>
                <w:sz w:val="14"/>
                <w:szCs w:val="14"/>
              </w:rPr>
              <w:t>Conector de entrada 1 VGA 1 DVI-D (compatible con HDCP)</w:t>
            </w:r>
          </w:p>
          <w:p w:rsidR="003B3340" w:rsidRPr="003B3340" w:rsidRDefault="003B3340" w:rsidP="003B3340">
            <w:pPr>
              <w:autoSpaceDE w:val="0"/>
              <w:autoSpaceDN w:val="0"/>
              <w:adjustRightInd w:val="0"/>
              <w:spacing w:line="276" w:lineRule="auto"/>
              <w:jc w:val="both"/>
              <w:rPr>
                <w:rFonts w:ascii="Arial" w:hAnsi="Arial" w:cs="Arial"/>
                <w:i/>
                <w:sz w:val="14"/>
                <w:szCs w:val="14"/>
              </w:rPr>
            </w:pPr>
            <w:r w:rsidRPr="003B3340">
              <w:rPr>
                <w:rFonts w:ascii="Arial" w:hAnsi="Arial" w:cs="Arial"/>
                <w:i/>
                <w:sz w:val="14"/>
                <w:szCs w:val="14"/>
              </w:rPr>
              <w:t>Garantía de 3 años en partes, mano de obra y servicio en</w:t>
            </w:r>
          </w:p>
          <w:p w:rsidR="003B3340" w:rsidRDefault="003B3340" w:rsidP="003B3340">
            <w:pPr>
              <w:jc w:val="both"/>
              <w:rPr>
                <w:rFonts w:ascii="Arial" w:hAnsi="Arial" w:cs="Arial"/>
                <w:i/>
                <w:sz w:val="14"/>
                <w:szCs w:val="14"/>
              </w:rPr>
            </w:pPr>
            <w:r w:rsidRPr="003B3340">
              <w:rPr>
                <w:rFonts w:ascii="Arial" w:hAnsi="Arial" w:cs="Arial"/>
                <w:i/>
                <w:sz w:val="14"/>
                <w:szCs w:val="14"/>
              </w:rPr>
              <w:t>sitio (3/3/3).</w:t>
            </w:r>
          </w:p>
          <w:p w:rsidR="003B3340" w:rsidRDefault="003B3340" w:rsidP="003B3340">
            <w:pPr>
              <w:jc w:val="both"/>
              <w:rPr>
                <w:rFonts w:ascii="Arial" w:hAnsi="Arial" w:cs="Arial"/>
                <w:b/>
                <w:i/>
                <w:sz w:val="14"/>
                <w:szCs w:val="14"/>
                <w:highlight w:val="yellow"/>
              </w:rPr>
            </w:pPr>
          </w:p>
          <w:p w:rsidR="005457BE" w:rsidRPr="005457BE" w:rsidRDefault="005457BE" w:rsidP="003B3340">
            <w:pPr>
              <w:jc w:val="both"/>
              <w:rPr>
                <w:rFonts w:ascii="Arial" w:hAnsi="Arial" w:cs="Arial"/>
                <w:sz w:val="14"/>
                <w:szCs w:val="14"/>
                <w:highlight w:val="yellow"/>
              </w:rPr>
            </w:pPr>
            <w:r w:rsidRPr="005457BE">
              <w:rPr>
                <w:rFonts w:ascii="Arial" w:hAnsi="Arial" w:cs="Arial"/>
                <w:sz w:val="14"/>
                <w:szCs w:val="14"/>
              </w:rPr>
              <w:t>Por lo que puede observarse, que no oferta la tarjeta de red inalámbrica 802.11ac</w:t>
            </w:r>
            <w:r>
              <w:rPr>
                <w:rFonts w:ascii="Arial" w:hAnsi="Arial" w:cs="Arial"/>
                <w:sz w:val="14"/>
                <w:szCs w:val="14"/>
              </w:rPr>
              <w:t xml:space="preserve"> requerida.</w:t>
            </w:r>
          </w:p>
          <w:p w:rsidR="005457BE" w:rsidRDefault="005457BE" w:rsidP="003B3340">
            <w:pPr>
              <w:jc w:val="both"/>
              <w:rPr>
                <w:rFonts w:ascii="Arial" w:hAnsi="Arial" w:cs="Arial"/>
                <w:b/>
                <w:sz w:val="14"/>
                <w:szCs w:val="14"/>
                <w:highlight w:val="yellow"/>
              </w:rPr>
            </w:pPr>
          </w:p>
          <w:p w:rsidR="00A763B5" w:rsidRPr="00A763B5" w:rsidRDefault="00A763B5" w:rsidP="003B3340">
            <w:pPr>
              <w:jc w:val="both"/>
              <w:rPr>
                <w:rFonts w:ascii="Arial" w:hAnsi="Arial" w:cs="Arial"/>
                <w:b/>
                <w:sz w:val="14"/>
                <w:szCs w:val="14"/>
                <w:highlight w:val="yellow"/>
              </w:rPr>
            </w:pPr>
            <w:r w:rsidRPr="005457BE">
              <w:rPr>
                <w:rFonts w:ascii="Arial" w:hAnsi="Arial" w:cs="Arial"/>
                <w:b/>
                <w:sz w:val="14"/>
                <w:szCs w:val="14"/>
              </w:rPr>
              <w:t xml:space="preserve">Por otra parte el tiempo de entrega solicitado en el anexo “2” es de 15 días naturales para la partida 4 y lo manifestado por el invitado en su anexo “2” el tiempo de </w:t>
            </w:r>
            <w:r w:rsidR="005457BE" w:rsidRPr="005457BE">
              <w:rPr>
                <w:rFonts w:ascii="Arial" w:hAnsi="Arial" w:cs="Arial"/>
                <w:b/>
                <w:sz w:val="14"/>
                <w:szCs w:val="14"/>
              </w:rPr>
              <w:t>entrega es de 30 días naturales, incumpliendo con el requisito mínimo solicitado.</w:t>
            </w:r>
          </w:p>
          <w:p w:rsidR="006D0E71" w:rsidRDefault="006D0E71" w:rsidP="003B3340">
            <w:pPr>
              <w:jc w:val="both"/>
              <w:rPr>
                <w:rFonts w:ascii="Arial" w:hAnsi="Arial" w:cs="Arial"/>
                <w:b/>
                <w:i/>
                <w:sz w:val="14"/>
                <w:szCs w:val="14"/>
                <w:highlight w:val="yellow"/>
              </w:rPr>
            </w:pPr>
          </w:p>
          <w:p w:rsidR="006D0E71" w:rsidRDefault="006D0E71" w:rsidP="006D0E71">
            <w:pPr>
              <w:jc w:val="center"/>
              <w:rPr>
                <w:rFonts w:ascii="Arial" w:hAnsi="Arial" w:cs="Arial"/>
                <w:b/>
                <w:i/>
                <w:sz w:val="14"/>
                <w:szCs w:val="14"/>
                <w:highlight w:val="yellow"/>
              </w:rPr>
            </w:pPr>
            <w:r>
              <w:rPr>
                <w:noProof/>
                <w:lang w:val="es-MX" w:eastAsia="es-MX"/>
              </w:rPr>
              <w:drawing>
                <wp:inline distT="0" distB="0" distL="0" distR="0" wp14:anchorId="2D0FD6B0" wp14:editId="53ABD921">
                  <wp:extent cx="2593075" cy="3500651"/>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249" t="11187" r="53967" b="4388"/>
                          <a:stretch/>
                        </pic:blipFill>
                        <pic:spPr bwMode="auto">
                          <a:xfrm>
                            <a:off x="0" y="0"/>
                            <a:ext cx="2593722" cy="3501524"/>
                          </a:xfrm>
                          <a:prstGeom prst="rect">
                            <a:avLst/>
                          </a:prstGeom>
                          <a:ln>
                            <a:noFill/>
                          </a:ln>
                          <a:extLst>
                            <a:ext uri="{53640926-AAD7-44D8-BBD7-CCE9431645EC}">
                              <a14:shadowObscured xmlns:a14="http://schemas.microsoft.com/office/drawing/2010/main"/>
                            </a:ext>
                          </a:extLst>
                        </pic:spPr>
                      </pic:pic>
                    </a:graphicData>
                  </a:graphic>
                </wp:inline>
              </w:drawing>
            </w:r>
          </w:p>
          <w:p w:rsidR="006D0E71" w:rsidRDefault="006D0E71" w:rsidP="003B3340">
            <w:pPr>
              <w:jc w:val="both"/>
              <w:rPr>
                <w:rFonts w:ascii="Arial" w:hAnsi="Arial" w:cs="Arial"/>
                <w:b/>
                <w:i/>
                <w:sz w:val="14"/>
                <w:szCs w:val="14"/>
                <w:highlight w:val="yellow"/>
              </w:rPr>
            </w:pPr>
          </w:p>
          <w:p w:rsidR="003B3340" w:rsidRPr="00A763B5" w:rsidRDefault="003B3340" w:rsidP="003B3340">
            <w:pPr>
              <w:jc w:val="both"/>
              <w:rPr>
                <w:rFonts w:ascii="Arial" w:hAnsi="Arial" w:cs="Arial"/>
                <w:b/>
                <w:sz w:val="14"/>
                <w:szCs w:val="14"/>
              </w:rPr>
            </w:pPr>
            <w:r w:rsidRPr="00A763B5">
              <w:rPr>
                <w:rFonts w:ascii="Arial" w:hAnsi="Arial" w:cs="Arial"/>
                <w:sz w:val="14"/>
                <w:szCs w:val="14"/>
              </w:rPr>
              <w:t xml:space="preserve">Por lo que con fundamento en el artículo 55, 56 y 57 de la Ley de Adquisiciones, Arrendamientos y Servicios del Sector Público del Estado de Aguascalientes y sus Municipios y en el numeral IX, X y XIII de las bases que norman esta </w:t>
            </w:r>
            <w:r w:rsidR="00A763B5" w:rsidRPr="00A763B5">
              <w:rPr>
                <w:rFonts w:ascii="Arial" w:hAnsi="Arial" w:cs="Arial"/>
                <w:sz w:val="14"/>
                <w:szCs w:val="14"/>
              </w:rPr>
              <w:t>invi</w:t>
            </w:r>
            <w:r w:rsidRPr="00A763B5">
              <w:rPr>
                <w:rFonts w:ascii="Arial" w:hAnsi="Arial" w:cs="Arial"/>
                <w:sz w:val="14"/>
                <w:szCs w:val="14"/>
              </w:rPr>
              <w:t>tación, y la revisión técnica realizada por el área requirente</w:t>
            </w:r>
            <w:r w:rsidRPr="00A763B5">
              <w:rPr>
                <w:rFonts w:ascii="Arial" w:hAnsi="Arial" w:cs="Arial"/>
                <w:b/>
                <w:sz w:val="14"/>
                <w:szCs w:val="14"/>
              </w:rPr>
              <w:t>,</w:t>
            </w:r>
            <w:r w:rsidRPr="00A763B5">
              <w:rPr>
                <w:rFonts w:ascii="Arial" w:hAnsi="Arial" w:cs="Arial"/>
                <w:sz w:val="14"/>
                <w:szCs w:val="14"/>
              </w:rPr>
              <w:t xml:space="preserve"> se desecha su propuesta</w:t>
            </w:r>
            <w:r w:rsidR="00A763B5" w:rsidRPr="00A763B5">
              <w:rPr>
                <w:rFonts w:ascii="Arial" w:hAnsi="Arial" w:cs="Arial"/>
                <w:sz w:val="14"/>
                <w:szCs w:val="14"/>
              </w:rPr>
              <w:t xml:space="preserve"> para la</w:t>
            </w:r>
            <w:r w:rsidRPr="00A763B5">
              <w:rPr>
                <w:rFonts w:ascii="Arial" w:hAnsi="Arial" w:cs="Arial"/>
                <w:sz w:val="14"/>
                <w:szCs w:val="14"/>
              </w:rPr>
              <w:t xml:space="preserve"> </w:t>
            </w:r>
            <w:r w:rsidR="007A69E6">
              <w:rPr>
                <w:rFonts w:ascii="Arial" w:hAnsi="Arial" w:cs="Arial"/>
                <w:b/>
                <w:sz w:val="14"/>
                <w:szCs w:val="14"/>
              </w:rPr>
              <w:t>partida</w:t>
            </w:r>
            <w:r w:rsidRPr="00A763B5">
              <w:rPr>
                <w:rFonts w:ascii="Arial" w:hAnsi="Arial" w:cs="Arial"/>
                <w:b/>
                <w:sz w:val="14"/>
                <w:szCs w:val="14"/>
              </w:rPr>
              <w:t xml:space="preserve"> </w:t>
            </w:r>
            <w:r w:rsidR="00A763B5" w:rsidRPr="00A763B5">
              <w:rPr>
                <w:rFonts w:ascii="Arial" w:hAnsi="Arial" w:cs="Arial"/>
                <w:b/>
                <w:sz w:val="14"/>
                <w:szCs w:val="14"/>
              </w:rPr>
              <w:t>4</w:t>
            </w:r>
            <w:r w:rsidRPr="00A763B5">
              <w:rPr>
                <w:rFonts w:ascii="Arial" w:hAnsi="Arial" w:cs="Arial"/>
                <w:b/>
                <w:sz w:val="14"/>
                <w:szCs w:val="14"/>
              </w:rPr>
              <w:t>.</w:t>
            </w:r>
          </w:p>
          <w:p w:rsidR="00A0082A" w:rsidRPr="003B3340" w:rsidRDefault="00A0082A" w:rsidP="00A763B5">
            <w:pPr>
              <w:jc w:val="both"/>
              <w:rPr>
                <w:rFonts w:ascii="Arial" w:hAnsi="Arial" w:cs="Arial"/>
                <w:sz w:val="14"/>
                <w:szCs w:val="14"/>
              </w:rPr>
            </w:pPr>
          </w:p>
        </w:tc>
      </w:tr>
      <w:tr w:rsidR="00A766AA" w:rsidRPr="00154F13" w:rsidTr="00EE477C">
        <w:trPr>
          <w:trHeight w:val="234"/>
          <w:jc w:val="center"/>
        </w:trPr>
        <w:tc>
          <w:tcPr>
            <w:tcW w:w="238" w:type="pct"/>
            <w:vMerge/>
            <w:noWrap/>
            <w:vAlign w:val="center"/>
          </w:tcPr>
          <w:p w:rsidR="00A766AA" w:rsidRPr="007C177E" w:rsidRDefault="00A766AA" w:rsidP="00A766AA">
            <w:pPr>
              <w:jc w:val="center"/>
              <w:rPr>
                <w:rFonts w:ascii="Arial" w:hAnsi="Arial" w:cs="Arial"/>
                <w:sz w:val="18"/>
                <w:szCs w:val="18"/>
              </w:rPr>
            </w:pPr>
          </w:p>
        </w:tc>
        <w:tc>
          <w:tcPr>
            <w:tcW w:w="803" w:type="pct"/>
            <w:vMerge/>
            <w:noWrap/>
            <w:vAlign w:val="center"/>
          </w:tcPr>
          <w:p w:rsidR="00A766AA" w:rsidRPr="00500C7B" w:rsidRDefault="00A766AA" w:rsidP="00A766AA">
            <w:pPr>
              <w:rPr>
                <w:rFonts w:ascii="Calibri" w:hAnsi="Calibri"/>
                <w:sz w:val="18"/>
                <w:szCs w:val="18"/>
              </w:rPr>
            </w:pPr>
          </w:p>
        </w:tc>
        <w:tc>
          <w:tcPr>
            <w:tcW w:w="3959" w:type="pct"/>
            <w:vAlign w:val="center"/>
          </w:tcPr>
          <w:p w:rsidR="00A766AA" w:rsidRPr="00A763B5" w:rsidRDefault="00A766AA" w:rsidP="003E72FE">
            <w:pPr>
              <w:jc w:val="both"/>
              <w:rPr>
                <w:rFonts w:ascii="Arial" w:hAnsi="Arial" w:cs="Arial"/>
                <w:sz w:val="14"/>
                <w:szCs w:val="14"/>
              </w:rPr>
            </w:pPr>
            <w:r w:rsidRPr="00A763B5">
              <w:rPr>
                <w:rFonts w:ascii="Arial" w:hAnsi="Arial" w:cs="Arial"/>
                <w:b/>
                <w:sz w:val="14"/>
                <w:szCs w:val="14"/>
              </w:rPr>
              <w:t xml:space="preserve">Documentos Administrativos apartado </w:t>
            </w:r>
            <w:r w:rsidR="003E72FE" w:rsidRPr="00A763B5">
              <w:rPr>
                <w:rFonts w:ascii="Arial" w:hAnsi="Arial" w:cs="Arial"/>
                <w:b/>
                <w:sz w:val="14"/>
                <w:szCs w:val="14"/>
              </w:rPr>
              <w:t>VI</w:t>
            </w:r>
            <w:r w:rsidRPr="00A763B5">
              <w:rPr>
                <w:rFonts w:ascii="Arial" w:hAnsi="Arial" w:cs="Arial"/>
                <w:b/>
                <w:sz w:val="14"/>
                <w:szCs w:val="14"/>
              </w:rPr>
              <w:t xml:space="preserve">: </w:t>
            </w:r>
            <w:r w:rsidRPr="00A763B5">
              <w:rPr>
                <w:rFonts w:ascii="Arial" w:hAnsi="Arial" w:cs="Arial"/>
                <w:sz w:val="14"/>
                <w:szCs w:val="14"/>
              </w:rPr>
              <w:t>cumple con los numerales en cuanto a su presentación</w:t>
            </w:r>
            <w:r w:rsidR="003E72FE" w:rsidRPr="00A763B5">
              <w:rPr>
                <w:rFonts w:ascii="Arial" w:hAnsi="Arial" w:cs="Arial"/>
                <w:sz w:val="14"/>
                <w:szCs w:val="14"/>
              </w:rPr>
              <w:t xml:space="preserve"> en los numerales </w:t>
            </w:r>
            <w:r w:rsidRPr="00A763B5">
              <w:rPr>
                <w:rFonts w:ascii="Arial" w:hAnsi="Arial" w:cs="Arial"/>
                <w:sz w:val="14"/>
                <w:szCs w:val="14"/>
              </w:rPr>
              <w:t xml:space="preserve"> 1, </w:t>
            </w:r>
            <w:r w:rsidR="003E72FE" w:rsidRPr="00A763B5">
              <w:rPr>
                <w:rFonts w:ascii="Arial" w:hAnsi="Arial" w:cs="Arial"/>
                <w:sz w:val="14"/>
                <w:szCs w:val="14"/>
              </w:rPr>
              <w:t>1.1</w:t>
            </w:r>
            <w:r w:rsidRPr="00A763B5">
              <w:rPr>
                <w:rFonts w:ascii="Arial" w:hAnsi="Arial" w:cs="Arial"/>
                <w:sz w:val="14"/>
                <w:szCs w:val="14"/>
              </w:rPr>
              <w:t>,</w:t>
            </w:r>
            <w:r w:rsidR="00967A1E" w:rsidRPr="00A763B5">
              <w:rPr>
                <w:rFonts w:ascii="Arial" w:hAnsi="Arial" w:cs="Arial"/>
                <w:sz w:val="14"/>
                <w:szCs w:val="14"/>
              </w:rPr>
              <w:t xml:space="preserve"> 2,</w:t>
            </w:r>
            <w:r w:rsidRPr="00A763B5">
              <w:rPr>
                <w:rFonts w:ascii="Arial" w:hAnsi="Arial" w:cs="Arial"/>
                <w:sz w:val="14"/>
                <w:szCs w:val="14"/>
              </w:rPr>
              <w:t xml:space="preserve"> </w:t>
            </w:r>
            <w:r w:rsidR="003E72FE" w:rsidRPr="00A763B5">
              <w:rPr>
                <w:rFonts w:ascii="Arial" w:hAnsi="Arial" w:cs="Arial"/>
                <w:sz w:val="14"/>
                <w:szCs w:val="14"/>
              </w:rPr>
              <w:t xml:space="preserve">3, </w:t>
            </w:r>
            <w:r w:rsidRPr="00A763B5">
              <w:rPr>
                <w:rFonts w:ascii="Arial" w:hAnsi="Arial" w:cs="Arial"/>
                <w:sz w:val="14"/>
                <w:szCs w:val="14"/>
              </w:rPr>
              <w:t xml:space="preserve">y </w:t>
            </w:r>
            <w:r w:rsidR="003E72FE" w:rsidRPr="00A763B5">
              <w:rPr>
                <w:rFonts w:ascii="Arial" w:hAnsi="Arial" w:cs="Arial"/>
                <w:sz w:val="14"/>
                <w:szCs w:val="14"/>
              </w:rPr>
              <w:t>4</w:t>
            </w:r>
            <w:r w:rsidRPr="00A763B5">
              <w:rPr>
                <w:rFonts w:ascii="Arial" w:hAnsi="Arial" w:cs="Arial"/>
                <w:sz w:val="14"/>
                <w:szCs w:val="14"/>
              </w:rPr>
              <w:t>.</w:t>
            </w:r>
          </w:p>
        </w:tc>
      </w:tr>
      <w:tr w:rsidR="00A766AA" w:rsidRPr="00154F13" w:rsidTr="00EE477C">
        <w:trPr>
          <w:trHeight w:val="234"/>
          <w:jc w:val="center"/>
        </w:trPr>
        <w:tc>
          <w:tcPr>
            <w:tcW w:w="238" w:type="pct"/>
            <w:vMerge/>
            <w:noWrap/>
            <w:vAlign w:val="center"/>
          </w:tcPr>
          <w:p w:rsidR="00A766AA" w:rsidRPr="007C177E" w:rsidRDefault="00A766AA" w:rsidP="00A766AA">
            <w:pPr>
              <w:jc w:val="center"/>
              <w:rPr>
                <w:rFonts w:ascii="Arial" w:hAnsi="Arial" w:cs="Arial"/>
                <w:sz w:val="18"/>
                <w:szCs w:val="18"/>
              </w:rPr>
            </w:pPr>
          </w:p>
        </w:tc>
        <w:tc>
          <w:tcPr>
            <w:tcW w:w="803" w:type="pct"/>
            <w:vMerge/>
            <w:noWrap/>
            <w:vAlign w:val="center"/>
          </w:tcPr>
          <w:p w:rsidR="00A766AA" w:rsidRPr="00500C7B" w:rsidRDefault="00A766AA" w:rsidP="00A766AA">
            <w:pPr>
              <w:rPr>
                <w:rFonts w:ascii="Calibri" w:hAnsi="Calibri"/>
                <w:sz w:val="18"/>
                <w:szCs w:val="18"/>
              </w:rPr>
            </w:pPr>
          </w:p>
        </w:tc>
        <w:tc>
          <w:tcPr>
            <w:tcW w:w="3959" w:type="pct"/>
            <w:vAlign w:val="center"/>
          </w:tcPr>
          <w:p w:rsidR="00A766AA" w:rsidRPr="00A763B5" w:rsidRDefault="00A766AA" w:rsidP="003E72FE">
            <w:pPr>
              <w:jc w:val="both"/>
              <w:rPr>
                <w:rFonts w:ascii="Arial" w:hAnsi="Arial" w:cs="Arial"/>
                <w:color w:val="FF0000"/>
                <w:sz w:val="14"/>
                <w:szCs w:val="14"/>
              </w:rPr>
            </w:pPr>
            <w:r w:rsidRPr="00A763B5">
              <w:rPr>
                <w:rFonts w:ascii="Arial" w:hAnsi="Arial" w:cs="Arial"/>
                <w:sz w:val="14"/>
                <w:szCs w:val="14"/>
              </w:rPr>
              <w:t xml:space="preserve">Revisión Técnica realizada por parte </w:t>
            </w:r>
            <w:r w:rsidR="003E72FE" w:rsidRPr="00A763B5">
              <w:rPr>
                <w:rFonts w:ascii="Arial" w:hAnsi="Arial" w:cs="Arial"/>
                <w:sz w:val="14"/>
                <w:szCs w:val="14"/>
              </w:rPr>
              <w:t>la Dirección General de Finanzas, Departamento de Contabilidad</w:t>
            </w:r>
            <w:r w:rsidRPr="00A763B5">
              <w:rPr>
                <w:rFonts w:ascii="Arial" w:hAnsi="Arial" w:cs="Arial"/>
                <w:sz w:val="14"/>
                <w:szCs w:val="14"/>
              </w:rPr>
              <w:t>.</w:t>
            </w:r>
          </w:p>
        </w:tc>
      </w:tr>
      <w:tr w:rsidR="00C438EE" w:rsidRPr="00154F13" w:rsidTr="00C438EE">
        <w:trPr>
          <w:trHeight w:val="187"/>
          <w:jc w:val="center"/>
        </w:trPr>
        <w:tc>
          <w:tcPr>
            <w:tcW w:w="238" w:type="pct"/>
            <w:vMerge w:val="restart"/>
            <w:noWrap/>
          </w:tcPr>
          <w:p w:rsidR="00C438EE" w:rsidRDefault="00C438EE" w:rsidP="00C438EE">
            <w:pPr>
              <w:jc w:val="center"/>
              <w:rPr>
                <w:rFonts w:ascii="Arial" w:hAnsi="Arial" w:cs="Arial"/>
                <w:sz w:val="18"/>
                <w:szCs w:val="18"/>
              </w:rPr>
            </w:pPr>
          </w:p>
          <w:p w:rsidR="00C438EE" w:rsidRPr="00354FDE" w:rsidRDefault="00C438EE" w:rsidP="00C438EE">
            <w:pPr>
              <w:jc w:val="center"/>
              <w:rPr>
                <w:rFonts w:ascii="Arial" w:hAnsi="Arial" w:cs="Arial"/>
                <w:sz w:val="18"/>
                <w:szCs w:val="18"/>
              </w:rPr>
            </w:pPr>
            <w:r>
              <w:rPr>
                <w:rFonts w:ascii="Arial" w:hAnsi="Arial" w:cs="Arial"/>
                <w:sz w:val="18"/>
                <w:szCs w:val="18"/>
              </w:rPr>
              <w:t>2</w:t>
            </w:r>
          </w:p>
        </w:tc>
        <w:tc>
          <w:tcPr>
            <w:tcW w:w="803" w:type="pct"/>
            <w:vMerge w:val="restart"/>
            <w:noWrap/>
            <w:vAlign w:val="center"/>
          </w:tcPr>
          <w:p w:rsidR="00C438EE" w:rsidRPr="00354FDE" w:rsidRDefault="00C438EE" w:rsidP="00C438EE">
            <w:pPr>
              <w:rPr>
                <w:rFonts w:ascii="Calibri" w:hAnsi="Calibri"/>
                <w:sz w:val="18"/>
                <w:szCs w:val="18"/>
              </w:rPr>
            </w:pPr>
            <w:r w:rsidRPr="00500C7B">
              <w:rPr>
                <w:rFonts w:ascii="Calibri" w:hAnsi="Calibri"/>
                <w:sz w:val="18"/>
                <w:szCs w:val="18"/>
              </w:rPr>
              <w:t>NETJER NETWORKS MEXICO, S.A. DE C.V.</w:t>
            </w:r>
          </w:p>
        </w:tc>
        <w:tc>
          <w:tcPr>
            <w:tcW w:w="3959" w:type="pct"/>
            <w:vAlign w:val="center"/>
          </w:tcPr>
          <w:p w:rsidR="00C438EE" w:rsidRPr="00A763B5" w:rsidRDefault="00C438EE" w:rsidP="00C438EE">
            <w:pPr>
              <w:jc w:val="both"/>
              <w:rPr>
                <w:rFonts w:ascii="Arial" w:hAnsi="Arial" w:cs="Arial"/>
                <w:b/>
                <w:sz w:val="14"/>
                <w:szCs w:val="14"/>
              </w:rPr>
            </w:pPr>
            <w:r w:rsidRPr="00A763B5">
              <w:rPr>
                <w:rFonts w:ascii="Arial" w:hAnsi="Arial" w:cs="Arial"/>
                <w:sz w:val="14"/>
                <w:szCs w:val="14"/>
              </w:rPr>
              <w:t>Oferta la partida: 1</w:t>
            </w:r>
          </w:p>
        </w:tc>
      </w:tr>
      <w:tr w:rsidR="00C438EE" w:rsidRPr="00154F13" w:rsidTr="00EE477C">
        <w:trPr>
          <w:trHeight w:val="184"/>
          <w:jc w:val="center"/>
        </w:trPr>
        <w:tc>
          <w:tcPr>
            <w:tcW w:w="238" w:type="pct"/>
            <w:vMerge/>
            <w:noWrap/>
          </w:tcPr>
          <w:p w:rsidR="00C438EE" w:rsidRDefault="00C438EE" w:rsidP="00C438EE">
            <w:pPr>
              <w:jc w:val="center"/>
              <w:rPr>
                <w:rFonts w:ascii="Arial" w:hAnsi="Arial" w:cs="Arial"/>
                <w:sz w:val="18"/>
                <w:szCs w:val="18"/>
              </w:rPr>
            </w:pPr>
          </w:p>
        </w:tc>
        <w:tc>
          <w:tcPr>
            <w:tcW w:w="803" w:type="pct"/>
            <w:vMerge/>
            <w:noWrap/>
            <w:vAlign w:val="center"/>
          </w:tcPr>
          <w:p w:rsidR="00C438EE" w:rsidRPr="00500C7B" w:rsidRDefault="00C438EE" w:rsidP="00C438EE">
            <w:pPr>
              <w:rPr>
                <w:rFonts w:ascii="Calibri" w:hAnsi="Calibri"/>
                <w:sz w:val="18"/>
                <w:szCs w:val="18"/>
              </w:rPr>
            </w:pPr>
          </w:p>
        </w:tc>
        <w:tc>
          <w:tcPr>
            <w:tcW w:w="3959" w:type="pct"/>
            <w:vAlign w:val="center"/>
          </w:tcPr>
          <w:p w:rsidR="00C438EE" w:rsidRPr="00A763B5" w:rsidRDefault="00C438EE" w:rsidP="00192616">
            <w:pPr>
              <w:jc w:val="both"/>
              <w:rPr>
                <w:rFonts w:ascii="Arial" w:hAnsi="Arial" w:cs="Arial"/>
                <w:sz w:val="14"/>
                <w:szCs w:val="14"/>
              </w:rPr>
            </w:pPr>
            <w:r w:rsidRPr="00A763B5">
              <w:rPr>
                <w:rFonts w:ascii="Arial" w:hAnsi="Arial" w:cs="Arial"/>
                <w:b/>
                <w:sz w:val="14"/>
                <w:szCs w:val="14"/>
              </w:rPr>
              <w:t xml:space="preserve">Análisis técnico apartado VI: </w:t>
            </w:r>
            <w:r w:rsidRPr="00A763B5">
              <w:rPr>
                <w:rFonts w:ascii="Arial" w:hAnsi="Arial" w:cs="Arial"/>
                <w:sz w:val="14"/>
                <w:szCs w:val="14"/>
              </w:rPr>
              <w:t xml:space="preserve">En el dictamen técnico emitido por el área requirente y técnica, respecto de la documentación presentada por el invitado, se establece que cumple en los numerales: </w:t>
            </w:r>
            <w:r w:rsidR="00192616" w:rsidRPr="00A763B5">
              <w:rPr>
                <w:rFonts w:ascii="Arial" w:hAnsi="Arial" w:cs="Arial"/>
                <w:sz w:val="14"/>
                <w:szCs w:val="14"/>
              </w:rPr>
              <w:t>6</w:t>
            </w:r>
            <w:r w:rsidRPr="00A763B5">
              <w:rPr>
                <w:rFonts w:ascii="Arial" w:hAnsi="Arial" w:cs="Arial"/>
                <w:sz w:val="14"/>
                <w:szCs w:val="14"/>
              </w:rPr>
              <w:t>, 7, 8</w:t>
            </w:r>
            <w:r w:rsidR="00192616" w:rsidRPr="00A763B5">
              <w:rPr>
                <w:rFonts w:ascii="Arial" w:hAnsi="Arial" w:cs="Arial"/>
                <w:sz w:val="14"/>
                <w:szCs w:val="14"/>
              </w:rPr>
              <w:t>, 9, 10 y 11.</w:t>
            </w:r>
          </w:p>
        </w:tc>
      </w:tr>
      <w:tr w:rsidR="00C438EE" w:rsidRPr="00154F13" w:rsidTr="00EE477C">
        <w:trPr>
          <w:trHeight w:val="184"/>
          <w:jc w:val="center"/>
        </w:trPr>
        <w:tc>
          <w:tcPr>
            <w:tcW w:w="238" w:type="pct"/>
            <w:vMerge/>
            <w:noWrap/>
          </w:tcPr>
          <w:p w:rsidR="00C438EE" w:rsidRDefault="00C438EE" w:rsidP="00C438EE">
            <w:pPr>
              <w:jc w:val="center"/>
              <w:rPr>
                <w:rFonts w:ascii="Arial" w:hAnsi="Arial" w:cs="Arial"/>
                <w:sz w:val="18"/>
                <w:szCs w:val="18"/>
              </w:rPr>
            </w:pPr>
          </w:p>
        </w:tc>
        <w:tc>
          <w:tcPr>
            <w:tcW w:w="803" w:type="pct"/>
            <w:vMerge/>
            <w:noWrap/>
            <w:vAlign w:val="center"/>
          </w:tcPr>
          <w:p w:rsidR="00C438EE" w:rsidRPr="00500C7B" w:rsidRDefault="00C438EE" w:rsidP="00C438EE">
            <w:pPr>
              <w:rPr>
                <w:rFonts w:ascii="Calibri" w:hAnsi="Calibri"/>
                <w:sz w:val="18"/>
                <w:szCs w:val="18"/>
              </w:rPr>
            </w:pPr>
          </w:p>
        </w:tc>
        <w:tc>
          <w:tcPr>
            <w:tcW w:w="3959" w:type="pct"/>
            <w:vAlign w:val="center"/>
          </w:tcPr>
          <w:p w:rsidR="00C438EE" w:rsidRPr="00A763B5" w:rsidRDefault="00C438EE" w:rsidP="00C438EE">
            <w:pPr>
              <w:jc w:val="both"/>
              <w:rPr>
                <w:rFonts w:ascii="Arial" w:hAnsi="Arial" w:cs="Arial"/>
                <w:sz w:val="14"/>
                <w:szCs w:val="14"/>
              </w:rPr>
            </w:pPr>
            <w:r w:rsidRPr="00A763B5">
              <w:rPr>
                <w:rFonts w:ascii="Arial" w:hAnsi="Arial" w:cs="Arial"/>
                <w:b/>
                <w:sz w:val="14"/>
                <w:szCs w:val="14"/>
              </w:rPr>
              <w:t xml:space="preserve">Documentos Administrativos apartado VI: </w:t>
            </w:r>
            <w:r w:rsidRPr="00A763B5">
              <w:rPr>
                <w:rFonts w:ascii="Arial" w:hAnsi="Arial" w:cs="Arial"/>
                <w:sz w:val="14"/>
                <w:szCs w:val="14"/>
              </w:rPr>
              <w:t xml:space="preserve">cumple con los numerales en cuanto a su presentación en los numerales  1, 1.1, </w:t>
            </w:r>
            <w:r w:rsidR="00967A1E" w:rsidRPr="00A763B5">
              <w:rPr>
                <w:rFonts w:ascii="Arial" w:hAnsi="Arial" w:cs="Arial"/>
                <w:sz w:val="14"/>
                <w:szCs w:val="14"/>
              </w:rPr>
              <w:t xml:space="preserve">2, </w:t>
            </w:r>
            <w:r w:rsidRPr="00A763B5">
              <w:rPr>
                <w:rFonts w:ascii="Arial" w:hAnsi="Arial" w:cs="Arial"/>
                <w:sz w:val="14"/>
                <w:szCs w:val="14"/>
              </w:rPr>
              <w:t>3, y 4.</w:t>
            </w:r>
          </w:p>
        </w:tc>
      </w:tr>
      <w:tr w:rsidR="00C438EE" w:rsidRPr="00154F13" w:rsidTr="00EE477C">
        <w:trPr>
          <w:trHeight w:val="184"/>
          <w:jc w:val="center"/>
        </w:trPr>
        <w:tc>
          <w:tcPr>
            <w:tcW w:w="238" w:type="pct"/>
            <w:vMerge/>
            <w:noWrap/>
          </w:tcPr>
          <w:p w:rsidR="00C438EE" w:rsidRDefault="00C438EE" w:rsidP="00C438EE">
            <w:pPr>
              <w:jc w:val="center"/>
              <w:rPr>
                <w:rFonts w:ascii="Arial" w:hAnsi="Arial" w:cs="Arial"/>
                <w:sz w:val="18"/>
                <w:szCs w:val="18"/>
              </w:rPr>
            </w:pPr>
          </w:p>
        </w:tc>
        <w:tc>
          <w:tcPr>
            <w:tcW w:w="803" w:type="pct"/>
            <w:vMerge/>
            <w:noWrap/>
            <w:vAlign w:val="center"/>
          </w:tcPr>
          <w:p w:rsidR="00C438EE" w:rsidRPr="00500C7B" w:rsidRDefault="00C438EE" w:rsidP="00C438EE">
            <w:pPr>
              <w:rPr>
                <w:rFonts w:ascii="Calibri" w:hAnsi="Calibri"/>
                <w:sz w:val="18"/>
                <w:szCs w:val="18"/>
              </w:rPr>
            </w:pPr>
          </w:p>
        </w:tc>
        <w:tc>
          <w:tcPr>
            <w:tcW w:w="3959" w:type="pct"/>
            <w:vAlign w:val="center"/>
          </w:tcPr>
          <w:p w:rsidR="00C438EE" w:rsidRPr="00A763B5" w:rsidRDefault="00C438EE" w:rsidP="00C438EE">
            <w:pPr>
              <w:jc w:val="both"/>
              <w:rPr>
                <w:rFonts w:ascii="Arial" w:hAnsi="Arial" w:cs="Arial"/>
                <w:color w:val="FF0000"/>
                <w:sz w:val="14"/>
                <w:szCs w:val="14"/>
              </w:rPr>
            </w:pPr>
            <w:r w:rsidRPr="00A763B5">
              <w:rPr>
                <w:rFonts w:ascii="Arial" w:hAnsi="Arial" w:cs="Arial"/>
                <w:sz w:val="14"/>
                <w:szCs w:val="14"/>
              </w:rPr>
              <w:t>Revisión Técnica realizada por parte la Dirección General de Finanzas, Departamento de Contabilidad</w:t>
            </w:r>
            <w:r w:rsidR="007A69E6">
              <w:rPr>
                <w:rFonts w:ascii="Arial" w:hAnsi="Arial" w:cs="Arial"/>
                <w:sz w:val="14"/>
                <w:szCs w:val="14"/>
              </w:rPr>
              <w:t xml:space="preserve"> cumple de manera general.</w:t>
            </w:r>
          </w:p>
        </w:tc>
      </w:tr>
    </w:tbl>
    <w:p w:rsidR="00423A86" w:rsidRPr="00964458" w:rsidRDefault="00C438EE" w:rsidP="00423A86">
      <w:pPr>
        <w:jc w:val="both"/>
        <w:rPr>
          <w:rFonts w:ascii="Arial" w:hAnsi="Arial" w:cs="Arial"/>
          <w:b/>
          <w:bCs/>
          <w:color w:val="000000"/>
          <w:sz w:val="18"/>
          <w:szCs w:val="16"/>
          <w:lang w:val="es-MX"/>
        </w:rPr>
      </w:pPr>
      <w:r w:rsidRPr="00FF2D93">
        <w:rPr>
          <w:rFonts w:ascii="Arial" w:hAnsi="Arial" w:cs="Arial"/>
          <w:sz w:val="18"/>
          <w:szCs w:val="16"/>
        </w:rPr>
        <w:t>---------------------------------------------------------------------------------------------------------------------------------------------------</w:t>
      </w:r>
    </w:p>
    <w:p w:rsidR="00155633" w:rsidRDefault="00155633" w:rsidP="00155633">
      <w:pPr>
        <w:autoSpaceDE w:val="0"/>
        <w:autoSpaceDN w:val="0"/>
        <w:adjustRightInd w:val="0"/>
        <w:jc w:val="both"/>
        <w:rPr>
          <w:rFonts w:ascii="Arial" w:hAnsi="Arial" w:cs="Arial"/>
          <w:sz w:val="18"/>
          <w:szCs w:val="18"/>
          <w:lang w:val="es-MX"/>
        </w:rPr>
      </w:pPr>
      <w:r w:rsidRPr="00423A86">
        <w:rPr>
          <w:rFonts w:ascii="Arial" w:hAnsi="Arial" w:cs="Arial"/>
          <w:sz w:val="18"/>
          <w:szCs w:val="18"/>
        </w:rPr>
        <w:t xml:space="preserve">Tomando en cuenta que la adjudicación se realiza por partida, de conformidad a lo establecido en la convocatoria, habiéndose constatado la suficiencia presupuestal en cada una de las partidas respecto de las proposiciones presentadas, del análisis realizado a las propuestas solventes, se determina adjudicar el contrato tal como se describe a continuación: </w:t>
      </w:r>
      <w:r w:rsidRPr="00933027">
        <w:rPr>
          <w:rFonts w:ascii="Arial" w:hAnsi="Arial" w:cs="Arial"/>
        </w:rPr>
        <w:t>---------------------------------------------------</w:t>
      </w:r>
      <w:r>
        <w:rPr>
          <w:rFonts w:ascii="Arial" w:hAnsi="Arial" w:cs="Arial"/>
        </w:rPr>
        <w:t>---------</w:t>
      </w:r>
      <w:r w:rsidRPr="00933027">
        <w:rPr>
          <w:rFonts w:ascii="Arial" w:hAnsi="Arial" w:cs="Arial"/>
        </w:rPr>
        <w:t>----------------------------</w:t>
      </w:r>
      <w:r w:rsidRPr="00940207">
        <w:rPr>
          <w:rFonts w:ascii="Arial" w:hAnsi="Arial" w:cs="Arial"/>
          <w:sz w:val="18"/>
          <w:szCs w:val="18"/>
          <w:lang w:val="es-MX"/>
        </w:rPr>
        <w:t xml:space="preserve"> </w:t>
      </w:r>
    </w:p>
    <w:p w:rsidR="00155633" w:rsidRDefault="00155633" w:rsidP="00155633">
      <w:pPr>
        <w:jc w:val="both"/>
        <w:rPr>
          <w:rFonts w:ascii="Arial" w:hAnsi="Arial" w:cs="Arial"/>
          <w:szCs w:val="18"/>
        </w:rPr>
      </w:pPr>
      <w:r w:rsidRPr="00933027">
        <w:rPr>
          <w:rFonts w:ascii="Arial" w:hAnsi="Arial" w:cs="Arial"/>
        </w:rPr>
        <w:t>-----------------------------------------------------------------------------------------------------------------------------</w:t>
      </w:r>
      <w:r>
        <w:rPr>
          <w:rFonts w:ascii="Arial" w:hAnsi="Arial" w:cs="Arial"/>
          <w:szCs w:val="18"/>
        </w:rPr>
        <w:t>-------</w:t>
      </w:r>
    </w:p>
    <w:tbl>
      <w:tblPr>
        <w:tblStyle w:val="Tablaconcuadrcula"/>
        <w:tblW w:w="90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2948"/>
        <w:gridCol w:w="992"/>
        <w:gridCol w:w="1843"/>
        <w:gridCol w:w="1276"/>
        <w:gridCol w:w="1291"/>
      </w:tblGrid>
      <w:tr w:rsidR="00155633" w:rsidRPr="00886DDB" w:rsidTr="000A2690">
        <w:trPr>
          <w:trHeight w:val="20"/>
        </w:trPr>
        <w:tc>
          <w:tcPr>
            <w:tcW w:w="704" w:type="dxa"/>
            <w:shd w:val="clear" w:color="auto" w:fill="F2F2F2" w:themeFill="background1" w:themeFillShade="F2"/>
            <w:hideMark/>
          </w:tcPr>
          <w:p w:rsidR="00155633" w:rsidRPr="00AC7FB2" w:rsidRDefault="00155633" w:rsidP="000A2690">
            <w:pPr>
              <w:contextualSpacing/>
              <w:jc w:val="center"/>
              <w:rPr>
                <w:rFonts w:asciiTheme="minorHAnsi" w:hAnsiTheme="minorHAnsi" w:cs="Arial"/>
                <w:b/>
                <w:bCs/>
                <w:sz w:val="16"/>
                <w:szCs w:val="16"/>
              </w:rPr>
            </w:pPr>
            <w:r w:rsidRPr="00AC7FB2">
              <w:rPr>
                <w:rFonts w:asciiTheme="minorHAnsi" w:hAnsiTheme="minorHAnsi" w:cs="Arial"/>
                <w:b/>
                <w:bCs/>
                <w:sz w:val="16"/>
                <w:szCs w:val="16"/>
              </w:rPr>
              <w:t>Partida</w:t>
            </w:r>
          </w:p>
        </w:tc>
        <w:tc>
          <w:tcPr>
            <w:tcW w:w="2948" w:type="dxa"/>
            <w:shd w:val="clear" w:color="auto" w:fill="F2F2F2" w:themeFill="background1" w:themeFillShade="F2"/>
            <w:hideMark/>
          </w:tcPr>
          <w:p w:rsidR="00155633" w:rsidRPr="00AC7FB2" w:rsidRDefault="00155633" w:rsidP="000A2690">
            <w:pPr>
              <w:contextualSpacing/>
              <w:jc w:val="center"/>
              <w:rPr>
                <w:rFonts w:asciiTheme="minorHAnsi" w:hAnsiTheme="minorHAnsi" w:cs="Arial"/>
                <w:b/>
                <w:bCs/>
                <w:sz w:val="16"/>
                <w:szCs w:val="16"/>
              </w:rPr>
            </w:pPr>
            <w:r w:rsidRPr="00AC7FB2">
              <w:rPr>
                <w:rFonts w:asciiTheme="minorHAnsi" w:hAnsiTheme="minorHAnsi" w:cs="Arial"/>
                <w:b/>
                <w:bCs/>
                <w:sz w:val="16"/>
                <w:szCs w:val="16"/>
              </w:rPr>
              <w:t>Descripción</w:t>
            </w:r>
          </w:p>
        </w:tc>
        <w:tc>
          <w:tcPr>
            <w:tcW w:w="992" w:type="dxa"/>
            <w:shd w:val="clear" w:color="auto" w:fill="F2F2F2" w:themeFill="background1" w:themeFillShade="F2"/>
            <w:hideMark/>
          </w:tcPr>
          <w:p w:rsidR="00155633" w:rsidRPr="00AC7FB2" w:rsidRDefault="00155633" w:rsidP="000A2690">
            <w:pPr>
              <w:contextualSpacing/>
              <w:jc w:val="center"/>
              <w:rPr>
                <w:rFonts w:asciiTheme="minorHAnsi" w:hAnsiTheme="minorHAnsi" w:cs="Arial"/>
                <w:b/>
                <w:bCs/>
                <w:sz w:val="16"/>
                <w:szCs w:val="16"/>
              </w:rPr>
            </w:pPr>
            <w:r w:rsidRPr="00AC7FB2">
              <w:rPr>
                <w:rFonts w:asciiTheme="minorHAnsi" w:hAnsiTheme="minorHAnsi" w:cs="Arial"/>
                <w:b/>
                <w:bCs/>
                <w:sz w:val="16"/>
                <w:szCs w:val="16"/>
              </w:rPr>
              <w:t>Cantidad</w:t>
            </w:r>
          </w:p>
        </w:tc>
        <w:tc>
          <w:tcPr>
            <w:tcW w:w="1843" w:type="dxa"/>
            <w:shd w:val="clear" w:color="auto" w:fill="F2F2F2" w:themeFill="background1" w:themeFillShade="F2"/>
            <w:hideMark/>
          </w:tcPr>
          <w:p w:rsidR="00155633" w:rsidRPr="00AC7FB2" w:rsidRDefault="00155633" w:rsidP="000A2690">
            <w:pPr>
              <w:contextualSpacing/>
              <w:jc w:val="center"/>
              <w:rPr>
                <w:rFonts w:asciiTheme="minorHAnsi" w:hAnsiTheme="minorHAnsi" w:cs="Arial"/>
                <w:b/>
                <w:bCs/>
                <w:sz w:val="16"/>
                <w:szCs w:val="16"/>
              </w:rPr>
            </w:pPr>
            <w:r w:rsidRPr="00AC7FB2">
              <w:rPr>
                <w:rFonts w:asciiTheme="minorHAnsi" w:hAnsiTheme="minorHAnsi" w:cs="Arial"/>
                <w:b/>
                <w:bCs/>
                <w:sz w:val="16"/>
                <w:szCs w:val="16"/>
              </w:rPr>
              <w:t>Empresa Adjudicada</w:t>
            </w:r>
          </w:p>
        </w:tc>
        <w:tc>
          <w:tcPr>
            <w:tcW w:w="1276" w:type="dxa"/>
            <w:shd w:val="clear" w:color="auto" w:fill="F2F2F2" w:themeFill="background1" w:themeFillShade="F2"/>
            <w:hideMark/>
          </w:tcPr>
          <w:p w:rsidR="00155633" w:rsidRPr="00AC7FB2" w:rsidRDefault="00155633" w:rsidP="000A2690">
            <w:pPr>
              <w:contextualSpacing/>
              <w:jc w:val="center"/>
              <w:rPr>
                <w:rFonts w:asciiTheme="minorHAnsi" w:hAnsiTheme="minorHAnsi" w:cs="Arial"/>
                <w:b/>
                <w:bCs/>
                <w:sz w:val="16"/>
                <w:szCs w:val="16"/>
              </w:rPr>
            </w:pPr>
            <w:r w:rsidRPr="00AC7FB2">
              <w:rPr>
                <w:rFonts w:asciiTheme="minorHAnsi" w:hAnsiTheme="minorHAnsi" w:cs="Arial"/>
                <w:b/>
                <w:bCs/>
                <w:sz w:val="16"/>
                <w:szCs w:val="16"/>
              </w:rPr>
              <w:t>Precio Unitario antes de IVA</w:t>
            </w:r>
          </w:p>
        </w:tc>
        <w:tc>
          <w:tcPr>
            <w:tcW w:w="1291" w:type="dxa"/>
            <w:shd w:val="clear" w:color="auto" w:fill="F2F2F2" w:themeFill="background1" w:themeFillShade="F2"/>
          </w:tcPr>
          <w:p w:rsidR="00155633" w:rsidRPr="00AC7FB2" w:rsidRDefault="00155633" w:rsidP="000A2690">
            <w:pPr>
              <w:contextualSpacing/>
              <w:jc w:val="center"/>
              <w:rPr>
                <w:rFonts w:asciiTheme="minorHAnsi" w:hAnsiTheme="minorHAnsi" w:cs="Arial"/>
                <w:b/>
                <w:bCs/>
                <w:sz w:val="16"/>
                <w:szCs w:val="16"/>
              </w:rPr>
            </w:pPr>
            <w:r w:rsidRPr="00AC7FB2">
              <w:rPr>
                <w:rFonts w:asciiTheme="minorHAnsi" w:hAnsiTheme="minorHAnsi" w:cs="Arial"/>
                <w:b/>
                <w:bCs/>
                <w:sz w:val="16"/>
                <w:szCs w:val="16"/>
              </w:rPr>
              <w:t>Precio Total antes de IVA</w:t>
            </w:r>
          </w:p>
        </w:tc>
      </w:tr>
      <w:tr w:rsidR="00EE477C" w:rsidRPr="00886DDB" w:rsidTr="00EE477C">
        <w:trPr>
          <w:trHeight w:val="20"/>
        </w:trPr>
        <w:tc>
          <w:tcPr>
            <w:tcW w:w="704" w:type="dxa"/>
            <w:shd w:val="clear" w:color="auto" w:fill="auto"/>
            <w:noWrap/>
            <w:vAlign w:val="center"/>
          </w:tcPr>
          <w:p w:rsidR="00EE477C" w:rsidRPr="00DD4059" w:rsidRDefault="00B4118C" w:rsidP="00B4118C">
            <w:pPr>
              <w:jc w:val="center"/>
              <w:rPr>
                <w:rFonts w:ascii="Arial" w:hAnsi="Arial" w:cs="Arial"/>
                <w:sz w:val="16"/>
                <w:szCs w:val="16"/>
              </w:rPr>
            </w:pPr>
            <w:r>
              <w:rPr>
                <w:rFonts w:ascii="Arial" w:hAnsi="Arial" w:cs="Arial"/>
                <w:sz w:val="16"/>
                <w:szCs w:val="16"/>
              </w:rPr>
              <w:t>1</w:t>
            </w:r>
          </w:p>
        </w:tc>
        <w:tc>
          <w:tcPr>
            <w:tcW w:w="2948" w:type="dxa"/>
            <w:shd w:val="clear" w:color="auto" w:fill="auto"/>
            <w:vAlign w:val="center"/>
          </w:tcPr>
          <w:p w:rsidR="00B4118C" w:rsidRDefault="00B4118C" w:rsidP="00B4118C">
            <w:pPr>
              <w:rPr>
                <w:rFonts w:ascii="Arial" w:hAnsi="Arial" w:cs="Arial"/>
                <w:b/>
                <w:sz w:val="16"/>
                <w:szCs w:val="16"/>
              </w:rPr>
            </w:pPr>
            <w:r w:rsidRPr="004E436A">
              <w:rPr>
                <w:rFonts w:ascii="Arial" w:hAnsi="Arial" w:cs="Arial"/>
                <w:b/>
                <w:sz w:val="16"/>
                <w:szCs w:val="16"/>
              </w:rPr>
              <w:t xml:space="preserve">Teléfono IP Inalámbrico </w:t>
            </w:r>
          </w:p>
          <w:p w:rsidR="00B4118C" w:rsidRPr="00B4118C" w:rsidRDefault="00B4118C" w:rsidP="00B4118C">
            <w:pPr>
              <w:jc w:val="both"/>
              <w:rPr>
                <w:rFonts w:ascii="Arial" w:hAnsi="Arial" w:cs="Arial"/>
                <w:sz w:val="12"/>
                <w:szCs w:val="12"/>
              </w:rPr>
            </w:pPr>
            <w:r w:rsidRPr="00B4118C">
              <w:rPr>
                <w:rFonts w:ascii="Arial" w:hAnsi="Arial" w:cs="Arial"/>
                <w:sz w:val="12"/>
                <w:szCs w:val="12"/>
              </w:rPr>
              <w:t xml:space="preserve">Marca Yealink modelo 56P con las siguientes características: </w:t>
            </w:r>
          </w:p>
          <w:p w:rsidR="00B4118C" w:rsidRPr="00B4118C" w:rsidRDefault="00B4118C" w:rsidP="00B4118C">
            <w:pPr>
              <w:pStyle w:val="Prrafodelista"/>
              <w:numPr>
                <w:ilvl w:val="0"/>
                <w:numId w:val="3"/>
              </w:numPr>
              <w:jc w:val="both"/>
              <w:rPr>
                <w:rFonts w:ascii="Arial" w:hAnsi="Arial" w:cs="Arial"/>
                <w:sz w:val="12"/>
                <w:szCs w:val="12"/>
                <w:lang w:val="en-US"/>
              </w:rPr>
            </w:pPr>
            <w:r w:rsidRPr="00B4118C">
              <w:rPr>
                <w:rFonts w:ascii="Arial" w:hAnsi="Arial" w:cs="Arial"/>
                <w:sz w:val="12"/>
                <w:szCs w:val="12"/>
                <w:lang w:val="en-US"/>
              </w:rPr>
              <w:t xml:space="preserve">Base y auricular 2.4” 240x320-pixel color display, 12 numerical pad, 5 navigation keys, 2 softkeys, 6 function keys, 6 shortcut keys, Wideband códec (G.722), Narrowband códec. </w:t>
            </w:r>
          </w:p>
          <w:p w:rsidR="00EE477C" w:rsidRPr="00DD4059" w:rsidRDefault="00B4118C" w:rsidP="00B4118C">
            <w:pPr>
              <w:rPr>
                <w:rFonts w:ascii="Arial" w:hAnsi="Arial" w:cs="Arial"/>
                <w:sz w:val="16"/>
                <w:szCs w:val="16"/>
              </w:rPr>
            </w:pPr>
            <w:r w:rsidRPr="00B4118C">
              <w:rPr>
                <w:rFonts w:ascii="Arial" w:hAnsi="Arial" w:cs="Arial"/>
                <w:sz w:val="12"/>
                <w:szCs w:val="12"/>
                <w:lang w:val="en-US"/>
              </w:rPr>
              <w:t>(G.711(A/</w:t>
            </w:r>
            <w:r w:rsidRPr="00B4118C">
              <w:rPr>
                <w:rFonts w:ascii="Arial" w:hAnsi="Arial" w:cs="Arial"/>
                <w:sz w:val="12"/>
                <w:szCs w:val="12"/>
              </w:rPr>
              <w:t>μ</w:t>
            </w:r>
            <w:r w:rsidRPr="00B4118C">
              <w:rPr>
                <w:rFonts w:ascii="Arial" w:hAnsi="Arial" w:cs="Arial"/>
                <w:sz w:val="12"/>
                <w:szCs w:val="12"/>
                <w:lang w:val="en-US"/>
              </w:rPr>
              <w:t xml:space="preserve">), G.723, G.726, G.729, iLBC), SIP v1 (RFC2543), v2 (RFC3261), VLAN (802.1Q and 802.1P), OpenVPN, IEEE802.1X, IP assignment: static/DHCP, 1xRJ45 10/100Mbps Ethernet port, Power over Ethernet (IEEE 802.3af), DECT, hasta 4 llamadas simultáneas, hasta 5 auriculares en la misma base, altavoz, alcance de hasta 50mts en interior y 300mts en exterior. </w:t>
            </w:r>
            <w:r w:rsidRPr="00B4118C">
              <w:rPr>
                <w:rFonts w:ascii="Arial" w:hAnsi="Arial" w:cs="Arial"/>
                <w:sz w:val="12"/>
                <w:szCs w:val="12"/>
              </w:rPr>
              <w:t>Incluye cargador.</w:t>
            </w:r>
          </w:p>
        </w:tc>
        <w:tc>
          <w:tcPr>
            <w:tcW w:w="992" w:type="dxa"/>
            <w:shd w:val="clear" w:color="auto" w:fill="auto"/>
            <w:noWrap/>
            <w:vAlign w:val="center"/>
          </w:tcPr>
          <w:p w:rsidR="00EE477C" w:rsidRPr="005C0E41" w:rsidRDefault="00EE477C" w:rsidP="00EE477C">
            <w:pPr>
              <w:jc w:val="center"/>
              <w:rPr>
                <w:rFonts w:ascii="Calibri" w:hAnsi="Calibri"/>
                <w:color w:val="000000"/>
                <w:sz w:val="16"/>
                <w:szCs w:val="16"/>
              </w:rPr>
            </w:pPr>
            <w:r>
              <w:rPr>
                <w:rFonts w:ascii="Calibri" w:hAnsi="Calibri"/>
                <w:color w:val="000000"/>
                <w:sz w:val="16"/>
                <w:szCs w:val="16"/>
              </w:rPr>
              <w:t>1</w:t>
            </w:r>
          </w:p>
        </w:tc>
        <w:tc>
          <w:tcPr>
            <w:tcW w:w="1843" w:type="dxa"/>
            <w:shd w:val="clear" w:color="auto" w:fill="auto"/>
            <w:noWrap/>
            <w:vAlign w:val="center"/>
          </w:tcPr>
          <w:p w:rsidR="00EE477C" w:rsidRPr="00555411" w:rsidRDefault="00B4118C" w:rsidP="00EE477C">
            <w:pPr>
              <w:contextualSpacing/>
              <w:jc w:val="center"/>
              <w:rPr>
                <w:rFonts w:ascii="Arial" w:hAnsi="Arial" w:cs="Arial"/>
                <w:sz w:val="16"/>
                <w:szCs w:val="16"/>
              </w:rPr>
            </w:pPr>
            <w:r w:rsidRPr="00500C7B">
              <w:rPr>
                <w:rFonts w:ascii="Calibri" w:hAnsi="Calibri"/>
                <w:sz w:val="18"/>
                <w:szCs w:val="18"/>
              </w:rPr>
              <w:t>NETJER NETWORKS MEXICO, S.A. DE C.V.</w:t>
            </w:r>
          </w:p>
        </w:tc>
        <w:tc>
          <w:tcPr>
            <w:tcW w:w="1276" w:type="dxa"/>
            <w:shd w:val="clear" w:color="auto" w:fill="auto"/>
            <w:noWrap/>
            <w:vAlign w:val="center"/>
          </w:tcPr>
          <w:p w:rsidR="00EE477C" w:rsidRPr="00D737E1" w:rsidRDefault="00E9257A" w:rsidP="00B4118C">
            <w:pPr>
              <w:jc w:val="center"/>
              <w:rPr>
                <w:rFonts w:ascii="Calibri" w:hAnsi="Calibri"/>
                <w:bCs/>
                <w:sz w:val="18"/>
                <w:szCs w:val="18"/>
                <w:lang w:val="es-MX" w:eastAsia="es-MX"/>
              </w:rPr>
            </w:pPr>
            <w:r>
              <w:rPr>
                <w:rFonts w:ascii="Calibri" w:hAnsi="Calibri"/>
                <w:bCs/>
                <w:sz w:val="18"/>
                <w:szCs w:val="18"/>
                <w:lang w:val="es-MX" w:eastAsia="es-MX"/>
              </w:rPr>
              <w:t>$</w:t>
            </w:r>
            <w:r w:rsidR="00B4118C">
              <w:rPr>
                <w:rFonts w:ascii="Calibri" w:hAnsi="Calibri"/>
                <w:bCs/>
                <w:sz w:val="18"/>
                <w:szCs w:val="18"/>
                <w:lang w:val="es-MX" w:eastAsia="es-MX"/>
              </w:rPr>
              <w:t>3</w:t>
            </w:r>
            <w:r>
              <w:rPr>
                <w:rFonts w:ascii="Calibri" w:hAnsi="Calibri"/>
                <w:bCs/>
                <w:sz w:val="18"/>
                <w:szCs w:val="18"/>
                <w:lang w:val="es-MX" w:eastAsia="es-MX"/>
              </w:rPr>
              <w:t>,</w:t>
            </w:r>
            <w:r w:rsidR="00B4118C">
              <w:rPr>
                <w:rFonts w:ascii="Calibri" w:hAnsi="Calibri"/>
                <w:bCs/>
                <w:sz w:val="18"/>
                <w:szCs w:val="18"/>
                <w:lang w:val="es-MX" w:eastAsia="es-MX"/>
              </w:rPr>
              <w:t>120</w:t>
            </w:r>
            <w:r>
              <w:rPr>
                <w:rFonts w:ascii="Calibri" w:hAnsi="Calibri"/>
                <w:bCs/>
                <w:sz w:val="18"/>
                <w:szCs w:val="18"/>
                <w:lang w:val="es-MX" w:eastAsia="es-MX"/>
              </w:rPr>
              <w:t>.</w:t>
            </w:r>
            <w:r w:rsidR="00B4118C">
              <w:rPr>
                <w:rFonts w:ascii="Calibri" w:hAnsi="Calibri"/>
                <w:bCs/>
                <w:sz w:val="18"/>
                <w:szCs w:val="18"/>
                <w:lang w:val="es-MX" w:eastAsia="es-MX"/>
              </w:rPr>
              <w:t>85</w:t>
            </w:r>
          </w:p>
        </w:tc>
        <w:tc>
          <w:tcPr>
            <w:tcW w:w="1291" w:type="dxa"/>
            <w:shd w:val="clear" w:color="auto" w:fill="auto"/>
            <w:vAlign w:val="center"/>
          </w:tcPr>
          <w:p w:rsidR="00EE477C" w:rsidRPr="00D737E1" w:rsidRDefault="00E9257A" w:rsidP="00EE477C">
            <w:pPr>
              <w:jc w:val="center"/>
              <w:rPr>
                <w:rFonts w:ascii="Calibri" w:hAnsi="Calibri"/>
                <w:sz w:val="18"/>
                <w:szCs w:val="18"/>
              </w:rPr>
            </w:pPr>
            <w:r>
              <w:rPr>
                <w:rFonts w:ascii="Calibri" w:hAnsi="Calibri"/>
                <w:bCs/>
                <w:sz w:val="18"/>
                <w:szCs w:val="18"/>
                <w:lang w:val="es-MX" w:eastAsia="es-MX"/>
              </w:rPr>
              <w:t>$</w:t>
            </w:r>
            <w:r w:rsidR="00B4118C">
              <w:rPr>
                <w:rFonts w:ascii="Calibri" w:hAnsi="Calibri"/>
                <w:bCs/>
                <w:sz w:val="18"/>
                <w:szCs w:val="18"/>
                <w:lang w:val="es-MX" w:eastAsia="es-MX"/>
              </w:rPr>
              <w:t>3,120.85</w:t>
            </w:r>
          </w:p>
        </w:tc>
      </w:tr>
      <w:tr w:rsidR="00B4118C" w:rsidRPr="00886DDB" w:rsidTr="00EE477C">
        <w:trPr>
          <w:trHeight w:val="20"/>
        </w:trPr>
        <w:tc>
          <w:tcPr>
            <w:tcW w:w="704" w:type="dxa"/>
            <w:shd w:val="clear" w:color="auto" w:fill="auto"/>
            <w:noWrap/>
            <w:vAlign w:val="center"/>
          </w:tcPr>
          <w:p w:rsidR="00B4118C" w:rsidRDefault="00B4118C" w:rsidP="00B4118C">
            <w:pPr>
              <w:jc w:val="center"/>
              <w:rPr>
                <w:rFonts w:ascii="Arial" w:hAnsi="Arial" w:cs="Arial"/>
                <w:sz w:val="16"/>
                <w:szCs w:val="16"/>
              </w:rPr>
            </w:pPr>
            <w:r>
              <w:rPr>
                <w:rFonts w:ascii="Arial" w:hAnsi="Arial" w:cs="Arial"/>
                <w:sz w:val="16"/>
                <w:szCs w:val="16"/>
              </w:rPr>
              <w:t>3</w:t>
            </w:r>
          </w:p>
        </w:tc>
        <w:tc>
          <w:tcPr>
            <w:tcW w:w="2948" w:type="dxa"/>
            <w:shd w:val="clear" w:color="auto" w:fill="auto"/>
            <w:vAlign w:val="center"/>
          </w:tcPr>
          <w:p w:rsidR="00B4118C" w:rsidRDefault="00B4118C" w:rsidP="00B4118C">
            <w:pPr>
              <w:rPr>
                <w:rFonts w:ascii="Arial" w:hAnsi="Arial" w:cs="Arial"/>
                <w:b/>
                <w:sz w:val="16"/>
                <w:szCs w:val="16"/>
              </w:rPr>
            </w:pPr>
            <w:r w:rsidRPr="00B4118C">
              <w:rPr>
                <w:rFonts w:ascii="Arial" w:hAnsi="Arial" w:cs="Arial"/>
                <w:b/>
                <w:sz w:val="16"/>
                <w:szCs w:val="16"/>
              </w:rPr>
              <w:t>Equipo de Cómputo</w:t>
            </w:r>
            <w:r w:rsidRPr="004E436A">
              <w:rPr>
                <w:rFonts w:ascii="Arial" w:hAnsi="Arial" w:cs="Arial"/>
                <w:b/>
                <w:sz w:val="16"/>
                <w:szCs w:val="16"/>
              </w:rPr>
              <w:t xml:space="preserve"> </w:t>
            </w:r>
          </w:p>
          <w:p w:rsidR="00B4118C" w:rsidRPr="00DD4059" w:rsidRDefault="00B4118C" w:rsidP="00B4118C">
            <w:pPr>
              <w:rPr>
                <w:rFonts w:ascii="Arial" w:hAnsi="Arial" w:cs="Arial"/>
                <w:sz w:val="16"/>
                <w:szCs w:val="16"/>
              </w:rPr>
            </w:pPr>
            <w:r w:rsidRPr="00B4118C">
              <w:rPr>
                <w:rFonts w:ascii="Arial" w:hAnsi="Arial" w:cs="Arial"/>
                <w:sz w:val="12"/>
                <w:szCs w:val="12"/>
              </w:rPr>
              <w:t>-</w:t>
            </w:r>
            <w:r w:rsidRPr="00B4118C">
              <w:rPr>
                <w:rFonts w:ascii="Arial" w:hAnsi="Arial" w:cs="Arial"/>
                <w:sz w:val="12"/>
                <w:szCs w:val="12"/>
              </w:rPr>
              <w:tab/>
              <w:t>HP EliteDesk PC HP EliteDesk 800 G3 Torre Sistema operativo Windows 10 Pro 64 Intel® Core™ i7-7700 con gráficos Intel® HD 630 Chipset Intel® Q270 Factor de forma Torre Memoria estándar 16 GB de SDRAM DDR4-2400 (2x8 GB) Ranuras de memoria 4 DIMM Disco Duro SATA de 3,5" 1 TB y 7200 rpm Interfaz de red LOM de conexión de red Gigabit Intel® I219LM Monitor HP VH22 de 21,5 in con resolución Full HD Garantía: Protegido por HP Services, incluida garantía limitada de 3 años para piezas, 3 años mano de obra y 3 años de servicio en el lugar (3/3/3).</w:t>
            </w:r>
          </w:p>
        </w:tc>
        <w:tc>
          <w:tcPr>
            <w:tcW w:w="992" w:type="dxa"/>
            <w:shd w:val="clear" w:color="auto" w:fill="auto"/>
            <w:noWrap/>
            <w:vAlign w:val="center"/>
          </w:tcPr>
          <w:p w:rsidR="00B4118C" w:rsidRDefault="00B4118C" w:rsidP="00B4118C">
            <w:pPr>
              <w:jc w:val="center"/>
              <w:rPr>
                <w:rFonts w:ascii="Calibri" w:hAnsi="Calibri"/>
                <w:color w:val="000000"/>
                <w:sz w:val="16"/>
                <w:szCs w:val="16"/>
              </w:rPr>
            </w:pPr>
            <w:r>
              <w:rPr>
                <w:rFonts w:ascii="Calibri" w:hAnsi="Calibri"/>
                <w:color w:val="000000"/>
                <w:sz w:val="16"/>
                <w:szCs w:val="16"/>
              </w:rPr>
              <w:t>9</w:t>
            </w:r>
          </w:p>
        </w:tc>
        <w:tc>
          <w:tcPr>
            <w:tcW w:w="1843" w:type="dxa"/>
            <w:shd w:val="clear" w:color="auto" w:fill="auto"/>
            <w:noWrap/>
            <w:vAlign w:val="center"/>
          </w:tcPr>
          <w:p w:rsidR="00B4118C" w:rsidRPr="00500C7B" w:rsidRDefault="00B4118C" w:rsidP="00B4118C">
            <w:pPr>
              <w:contextualSpacing/>
              <w:jc w:val="center"/>
              <w:rPr>
                <w:rFonts w:ascii="Calibri" w:hAnsi="Calibri"/>
                <w:sz w:val="18"/>
                <w:szCs w:val="18"/>
              </w:rPr>
            </w:pPr>
            <w:r w:rsidRPr="00500C7B">
              <w:rPr>
                <w:rFonts w:ascii="Calibri" w:hAnsi="Calibri"/>
                <w:sz w:val="18"/>
                <w:szCs w:val="18"/>
              </w:rPr>
              <w:t>INGENIERIA DE SISTEMAS DE AGUASCALIENTES, S.A. DE C.V.</w:t>
            </w:r>
          </w:p>
        </w:tc>
        <w:tc>
          <w:tcPr>
            <w:tcW w:w="1276" w:type="dxa"/>
            <w:shd w:val="clear" w:color="auto" w:fill="auto"/>
            <w:noWrap/>
            <w:vAlign w:val="center"/>
          </w:tcPr>
          <w:p w:rsidR="00B4118C" w:rsidRPr="00D737E1" w:rsidRDefault="00B4118C" w:rsidP="00B4118C">
            <w:pPr>
              <w:jc w:val="center"/>
              <w:rPr>
                <w:rFonts w:ascii="Calibri" w:hAnsi="Calibri"/>
                <w:bCs/>
                <w:sz w:val="18"/>
                <w:szCs w:val="18"/>
                <w:lang w:val="es-MX" w:eastAsia="es-MX"/>
              </w:rPr>
            </w:pPr>
            <w:r>
              <w:rPr>
                <w:rFonts w:ascii="Calibri" w:hAnsi="Calibri"/>
                <w:bCs/>
                <w:sz w:val="18"/>
                <w:szCs w:val="18"/>
                <w:lang w:val="es-MX" w:eastAsia="es-MX"/>
              </w:rPr>
              <w:t>$23,343.49</w:t>
            </w:r>
          </w:p>
        </w:tc>
        <w:tc>
          <w:tcPr>
            <w:tcW w:w="1291" w:type="dxa"/>
            <w:shd w:val="clear" w:color="auto" w:fill="auto"/>
            <w:vAlign w:val="center"/>
          </w:tcPr>
          <w:p w:rsidR="00B4118C" w:rsidRPr="00D737E1" w:rsidRDefault="00B4118C" w:rsidP="00B4118C">
            <w:pPr>
              <w:jc w:val="center"/>
              <w:rPr>
                <w:rFonts w:ascii="Calibri" w:hAnsi="Calibri"/>
                <w:sz w:val="18"/>
                <w:szCs w:val="18"/>
              </w:rPr>
            </w:pPr>
            <w:r>
              <w:rPr>
                <w:rFonts w:ascii="Calibri" w:hAnsi="Calibri"/>
                <w:bCs/>
                <w:sz w:val="18"/>
                <w:szCs w:val="18"/>
                <w:lang w:val="es-MX" w:eastAsia="es-MX"/>
              </w:rPr>
              <w:t>$210,091.41</w:t>
            </w:r>
          </w:p>
        </w:tc>
      </w:tr>
    </w:tbl>
    <w:p w:rsidR="00155633" w:rsidRDefault="00155633" w:rsidP="00155633">
      <w:pPr>
        <w:jc w:val="both"/>
        <w:rPr>
          <w:rFonts w:ascii="Arial" w:hAnsi="Arial" w:cs="Arial"/>
          <w:b/>
          <w:bCs/>
          <w:color w:val="000000"/>
          <w:sz w:val="16"/>
          <w:szCs w:val="16"/>
          <w:lang w:val="es-MX"/>
        </w:rPr>
      </w:pPr>
      <w:r w:rsidRPr="00933027">
        <w:rPr>
          <w:rFonts w:ascii="Arial" w:hAnsi="Arial" w:cs="Arial"/>
        </w:rPr>
        <w:t>-----------------------------------------------------------------------------------------------------------------------------</w:t>
      </w:r>
      <w:r w:rsidRPr="00933027">
        <w:rPr>
          <w:rFonts w:ascii="Arial" w:hAnsi="Arial" w:cs="Arial"/>
          <w:sz w:val="18"/>
          <w:szCs w:val="18"/>
        </w:rPr>
        <w:t>--------</w:t>
      </w:r>
    </w:p>
    <w:p w:rsidR="00A763B5" w:rsidRDefault="00A763B5" w:rsidP="00A0082A">
      <w:pPr>
        <w:jc w:val="both"/>
        <w:rPr>
          <w:rFonts w:ascii="Arial" w:hAnsi="Arial" w:cs="Arial"/>
          <w:sz w:val="18"/>
          <w:szCs w:val="18"/>
          <w:highlight w:val="yellow"/>
        </w:rPr>
      </w:pPr>
      <w:r w:rsidRPr="009B0655">
        <w:rPr>
          <w:rFonts w:ascii="Arial" w:hAnsi="Arial" w:cs="Arial"/>
          <w:sz w:val="18"/>
          <w:szCs w:val="18"/>
        </w:rPr>
        <w:t>Con fundamento en el artículo 38 de la L.A.A.S.S.P,</w:t>
      </w:r>
      <w:r>
        <w:rPr>
          <w:rFonts w:ascii="Arial" w:hAnsi="Arial" w:cs="Arial"/>
          <w:sz w:val="18"/>
          <w:szCs w:val="18"/>
        </w:rPr>
        <w:t xml:space="preserve"> así como en el numeral XIII de las bases de la invitación se</w:t>
      </w:r>
      <w:r w:rsidRPr="009B0655">
        <w:rPr>
          <w:rFonts w:ascii="Arial" w:hAnsi="Arial" w:cs="Arial"/>
          <w:sz w:val="18"/>
          <w:szCs w:val="18"/>
        </w:rPr>
        <w:t xml:space="preserve"> declara</w:t>
      </w:r>
      <w:r>
        <w:rPr>
          <w:rFonts w:ascii="Arial" w:hAnsi="Arial" w:cs="Arial"/>
          <w:sz w:val="18"/>
          <w:szCs w:val="18"/>
        </w:rPr>
        <w:t>n</w:t>
      </w:r>
      <w:r w:rsidRPr="009B0655">
        <w:rPr>
          <w:rFonts w:ascii="Arial" w:hAnsi="Arial" w:cs="Arial"/>
          <w:sz w:val="18"/>
          <w:szCs w:val="18"/>
        </w:rPr>
        <w:t xml:space="preserve"> desierta la</w:t>
      </w:r>
      <w:r>
        <w:rPr>
          <w:rFonts w:ascii="Arial" w:hAnsi="Arial" w:cs="Arial"/>
          <w:sz w:val="18"/>
          <w:szCs w:val="18"/>
        </w:rPr>
        <w:t xml:space="preserve"> siguiente partida</w:t>
      </w:r>
      <w:r w:rsidRPr="009B0655">
        <w:rPr>
          <w:rFonts w:ascii="Arial" w:hAnsi="Arial" w:cs="Arial"/>
          <w:sz w:val="18"/>
          <w:szCs w:val="18"/>
        </w:rPr>
        <w:t>.</w:t>
      </w:r>
    </w:p>
    <w:p w:rsidR="00A0082A" w:rsidRPr="005457BE" w:rsidRDefault="00A0082A" w:rsidP="00A0082A">
      <w:pPr>
        <w:jc w:val="both"/>
        <w:rPr>
          <w:rFonts w:ascii="Arial" w:hAnsi="Arial" w:cs="Arial"/>
          <w:sz w:val="16"/>
          <w:szCs w:val="16"/>
        </w:rPr>
      </w:pPr>
      <w:r w:rsidRPr="005457BE">
        <w:rPr>
          <w:rFonts w:ascii="Arial" w:hAnsi="Arial" w:cs="Arial"/>
          <w:sz w:val="18"/>
          <w:szCs w:val="18"/>
        </w:rPr>
        <w:t>--------------------------------------------------------------------------------------------------------------------------------------------------</w:t>
      </w:r>
    </w:p>
    <w:tbl>
      <w:tblPr>
        <w:tblW w:w="4963" w:type="pct"/>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768"/>
        <w:gridCol w:w="6995"/>
      </w:tblGrid>
      <w:tr w:rsidR="00A0082A" w:rsidRPr="005457BE" w:rsidTr="0053532C">
        <w:trPr>
          <w:trHeight w:val="315"/>
        </w:trPr>
        <w:tc>
          <w:tcPr>
            <w:tcW w:w="1009" w:type="pct"/>
            <w:shd w:val="clear" w:color="auto" w:fill="D9D9D9"/>
            <w:noWrap/>
            <w:vAlign w:val="bottom"/>
            <w:hideMark/>
          </w:tcPr>
          <w:p w:rsidR="00A0082A" w:rsidRPr="005457BE" w:rsidRDefault="00A0082A" w:rsidP="00227C98">
            <w:pPr>
              <w:jc w:val="center"/>
              <w:rPr>
                <w:rFonts w:ascii="Arial" w:hAnsi="Arial" w:cs="Arial"/>
                <w:b/>
                <w:color w:val="000000"/>
                <w:sz w:val="16"/>
                <w:szCs w:val="16"/>
                <w:lang w:val="es-MX" w:eastAsia="es-MX"/>
              </w:rPr>
            </w:pPr>
            <w:r w:rsidRPr="005457BE">
              <w:rPr>
                <w:rFonts w:ascii="Arial" w:hAnsi="Arial" w:cs="Arial"/>
                <w:b/>
                <w:color w:val="000000"/>
                <w:sz w:val="16"/>
                <w:szCs w:val="16"/>
                <w:lang w:val="es-MX" w:eastAsia="es-MX"/>
              </w:rPr>
              <w:t>Partidas Desiertas</w:t>
            </w:r>
          </w:p>
        </w:tc>
        <w:tc>
          <w:tcPr>
            <w:tcW w:w="3991" w:type="pct"/>
            <w:shd w:val="clear" w:color="auto" w:fill="D9D9D9"/>
            <w:noWrap/>
            <w:vAlign w:val="bottom"/>
            <w:hideMark/>
          </w:tcPr>
          <w:p w:rsidR="00A0082A" w:rsidRPr="005457BE" w:rsidRDefault="00A0082A" w:rsidP="00227C98">
            <w:pPr>
              <w:jc w:val="center"/>
              <w:rPr>
                <w:rFonts w:ascii="Arial" w:hAnsi="Arial" w:cs="Arial"/>
                <w:b/>
                <w:color w:val="000000"/>
                <w:sz w:val="16"/>
                <w:szCs w:val="16"/>
                <w:lang w:val="es-MX" w:eastAsia="es-MX"/>
              </w:rPr>
            </w:pPr>
            <w:r w:rsidRPr="005457BE">
              <w:rPr>
                <w:rFonts w:ascii="Arial" w:hAnsi="Arial" w:cs="Arial"/>
                <w:b/>
                <w:color w:val="000000"/>
                <w:sz w:val="16"/>
                <w:szCs w:val="16"/>
                <w:lang w:val="es-MX" w:eastAsia="es-MX"/>
              </w:rPr>
              <w:t>Motivo</w:t>
            </w:r>
          </w:p>
        </w:tc>
      </w:tr>
      <w:tr w:rsidR="00A0082A" w:rsidRPr="005457BE" w:rsidTr="0053532C">
        <w:trPr>
          <w:trHeight w:val="281"/>
        </w:trPr>
        <w:tc>
          <w:tcPr>
            <w:tcW w:w="1009" w:type="pct"/>
            <w:shd w:val="clear" w:color="auto" w:fill="auto"/>
            <w:vAlign w:val="center"/>
          </w:tcPr>
          <w:p w:rsidR="00A0082A" w:rsidRPr="005457BE" w:rsidRDefault="00A763B5" w:rsidP="0053532C">
            <w:pPr>
              <w:jc w:val="center"/>
              <w:rPr>
                <w:rFonts w:ascii="Arial" w:hAnsi="Arial" w:cs="Arial"/>
                <w:b/>
                <w:sz w:val="16"/>
                <w:szCs w:val="16"/>
              </w:rPr>
            </w:pPr>
            <w:r w:rsidRPr="005457BE">
              <w:rPr>
                <w:rFonts w:ascii="Arial" w:hAnsi="Arial" w:cs="Arial"/>
                <w:b/>
                <w:sz w:val="16"/>
                <w:szCs w:val="16"/>
              </w:rPr>
              <w:t>2</w:t>
            </w:r>
          </w:p>
        </w:tc>
        <w:tc>
          <w:tcPr>
            <w:tcW w:w="3991" w:type="pct"/>
            <w:shd w:val="clear" w:color="auto" w:fill="auto"/>
            <w:vAlign w:val="center"/>
          </w:tcPr>
          <w:p w:rsidR="00A0082A" w:rsidRPr="005457BE" w:rsidRDefault="00A0082A" w:rsidP="00227C98">
            <w:pPr>
              <w:jc w:val="both"/>
              <w:rPr>
                <w:rFonts w:ascii="Arial" w:hAnsi="Arial" w:cs="Arial"/>
                <w:sz w:val="16"/>
                <w:szCs w:val="16"/>
                <w:lang w:val="es-MX" w:eastAsia="es-MX"/>
              </w:rPr>
            </w:pPr>
            <w:r w:rsidRPr="005457BE">
              <w:rPr>
                <w:rFonts w:ascii="Arial" w:hAnsi="Arial" w:cs="Arial"/>
                <w:sz w:val="16"/>
                <w:szCs w:val="16"/>
                <w:lang w:val="es-MX" w:eastAsia="es-MX"/>
              </w:rPr>
              <w:t xml:space="preserve">Se declara desierta, en virtud de que no existió propuesta en el evento de presentación y apertura de propuestas. </w:t>
            </w:r>
          </w:p>
        </w:tc>
      </w:tr>
      <w:tr w:rsidR="00A763B5" w:rsidRPr="005457BE" w:rsidTr="0053532C">
        <w:trPr>
          <w:trHeight w:val="281"/>
        </w:trPr>
        <w:tc>
          <w:tcPr>
            <w:tcW w:w="1009" w:type="pct"/>
            <w:shd w:val="clear" w:color="auto" w:fill="auto"/>
            <w:vAlign w:val="center"/>
          </w:tcPr>
          <w:p w:rsidR="00A763B5" w:rsidRPr="005457BE" w:rsidRDefault="00A763B5" w:rsidP="0053532C">
            <w:pPr>
              <w:jc w:val="center"/>
              <w:rPr>
                <w:rFonts w:ascii="Arial" w:hAnsi="Arial" w:cs="Arial"/>
                <w:b/>
                <w:sz w:val="16"/>
                <w:szCs w:val="16"/>
              </w:rPr>
            </w:pPr>
            <w:r w:rsidRPr="005457BE">
              <w:rPr>
                <w:rFonts w:ascii="Arial" w:hAnsi="Arial" w:cs="Arial"/>
                <w:b/>
                <w:sz w:val="16"/>
                <w:szCs w:val="16"/>
              </w:rPr>
              <w:t>4</w:t>
            </w:r>
          </w:p>
        </w:tc>
        <w:tc>
          <w:tcPr>
            <w:tcW w:w="3991" w:type="pct"/>
            <w:shd w:val="clear" w:color="auto" w:fill="auto"/>
            <w:vAlign w:val="center"/>
          </w:tcPr>
          <w:p w:rsidR="00A763B5" w:rsidRPr="005457BE" w:rsidRDefault="0053532C" w:rsidP="00227C98">
            <w:pPr>
              <w:jc w:val="both"/>
              <w:rPr>
                <w:rFonts w:ascii="Arial" w:hAnsi="Arial" w:cs="Arial"/>
                <w:sz w:val="16"/>
                <w:szCs w:val="16"/>
                <w:lang w:val="es-MX" w:eastAsia="es-MX"/>
              </w:rPr>
            </w:pPr>
            <w:r w:rsidRPr="005457BE">
              <w:rPr>
                <w:rFonts w:ascii="Arial" w:hAnsi="Arial" w:cs="Arial"/>
                <w:sz w:val="16"/>
                <w:szCs w:val="16"/>
                <w:lang w:val="es-MX" w:eastAsia="es-MX"/>
              </w:rPr>
              <w:t>Se declara el desechamiento de la proposición por incumplimiento con base a lo solicitado en la convoca</w:t>
            </w:r>
            <w:r w:rsidR="009F2E5B" w:rsidRPr="005457BE">
              <w:rPr>
                <w:rFonts w:ascii="Arial" w:hAnsi="Arial" w:cs="Arial"/>
                <w:sz w:val="16"/>
                <w:szCs w:val="16"/>
                <w:lang w:val="es-MX" w:eastAsia="es-MX"/>
              </w:rPr>
              <w:t>toria en el apartado IV inciso b</w:t>
            </w:r>
            <w:r w:rsidRPr="005457BE">
              <w:rPr>
                <w:rFonts w:ascii="Arial" w:hAnsi="Arial" w:cs="Arial"/>
                <w:sz w:val="16"/>
                <w:szCs w:val="16"/>
                <w:lang w:val="es-MX" w:eastAsia="es-MX"/>
              </w:rPr>
              <w:t>)</w:t>
            </w:r>
            <w:r w:rsidR="005457BE">
              <w:rPr>
                <w:rFonts w:ascii="Arial" w:hAnsi="Arial" w:cs="Arial"/>
                <w:sz w:val="16"/>
                <w:szCs w:val="16"/>
                <w:lang w:val="es-MX" w:eastAsia="es-MX"/>
              </w:rPr>
              <w:t>.</w:t>
            </w:r>
          </w:p>
        </w:tc>
      </w:tr>
    </w:tbl>
    <w:p w:rsidR="00A0082A" w:rsidRPr="005457BE" w:rsidRDefault="0056407E" w:rsidP="00155633">
      <w:pPr>
        <w:autoSpaceDE w:val="0"/>
        <w:autoSpaceDN w:val="0"/>
        <w:adjustRightInd w:val="0"/>
        <w:jc w:val="both"/>
        <w:rPr>
          <w:rFonts w:ascii="Arial" w:hAnsi="Arial" w:cs="Arial"/>
          <w:bCs/>
          <w:color w:val="000000"/>
          <w:sz w:val="16"/>
          <w:szCs w:val="16"/>
          <w:lang w:val="es-MX"/>
        </w:rPr>
      </w:pPr>
      <w:r w:rsidRPr="005457BE">
        <w:rPr>
          <w:rFonts w:ascii="Arial" w:hAnsi="Arial" w:cs="Arial"/>
          <w:bCs/>
          <w:color w:val="000000"/>
          <w:sz w:val="16"/>
          <w:szCs w:val="16"/>
          <w:lang w:val="es-MX"/>
        </w:rPr>
        <w:t>---------------------------------------------------------------------------------------------------------------------------------------------------------------------</w:t>
      </w:r>
    </w:p>
    <w:p w:rsidR="0056407E" w:rsidRDefault="0056407E" w:rsidP="0056407E">
      <w:pPr>
        <w:autoSpaceDE w:val="0"/>
        <w:autoSpaceDN w:val="0"/>
        <w:adjustRightInd w:val="0"/>
        <w:jc w:val="both"/>
        <w:rPr>
          <w:rFonts w:ascii="Arial" w:hAnsi="Arial" w:cs="Arial"/>
          <w:sz w:val="18"/>
          <w:szCs w:val="18"/>
          <w:lang w:val="es-MX"/>
        </w:rPr>
      </w:pPr>
      <w:r w:rsidRPr="005457BE">
        <w:rPr>
          <w:rFonts w:ascii="Arial" w:hAnsi="Arial" w:cs="Arial"/>
          <w:sz w:val="18"/>
          <w:szCs w:val="18"/>
        </w:rPr>
        <w:t>Por considerar que su propuesta es solvente al reunir conforme a los criterios de adjudicación contenidos en las bases, las condiciones legales, técnicas y económicas</w:t>
      </w:r>
      <w:r>
        <w:rPr>
          <w:rFonts w:ascii="Arial" w:hAnsi="Arial" w:cs="Arial"/>
          <w:sz w:val="18"/>
          <w:szCs w:val="18"/>
        </w:rPr>
        <w:t xml:space="preserve">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los precios más bajos y convenientes de las propuestas solventes, para la Universidad</w:t>
      </w:r>
      <w:r w:rsidRPr="002A5984">
        <w:rPr>
          <w:rFonts w:ascii="Arial" w:hAnsi="Arial" w:cs="Arial"/>
          <w:sz w:val="18"/>
          <w:szCs w:val="18"/>
        </w:rPr>
        <w:t xml:space="preserve">, con fundamento en los artículos 36 y 36 bis de la </w:t>
      </w:r>
      <w:r>
        <w:rPr>
          <w:rFonts w:ascii="Arial" w:hAnsi="Arial" w:cs="Arial"/>
          <w:sz w:val="18"/>
          <w:szCs w:val="18"/>
        </w:rPr>
        <w:t>L</w:t>
      </w:r>
      <w:r w:rsidRPr="002A5984">
        <w:rPr>
          <w:rFonts w:ascii="Arial" w:hAnsi="Arial" w:cs="Arial"/>
          <w:sz w:val="18"/>
          <w:szCs w:val="18"/>
        </w:rPr>
        <w:t xml:space="preserve">ey, así como en el numeral </w:t>
      </w:r>
      <w:r>
        <w:rPr>
          <w:rFonts w:ascii="Arial" w:hAnsi="Arial" w:cs="Arial"/>
          <w:sz w:val="18"/>
          <w:szCs w:val="18"/>
        </w:rPr>
        <w:t>VI, inciso C</w:t>
      </w:r>
      <w:r w:rsidRPr="001D3C8C">
        <w:rPr>
          <w:rFonts w:ascii="Arial" w:hAnsi="Arial" w:cs="Arial"/>
          <w:sz w:val="18"/>
          <w:szCs w:val="18"/>
        </w:rPr>
        <w:t xml:space="preserve"> de las bases de la </w:t>
      </w:r>
      <w:r>
        <w:rPr>
          <w:rFonts w:ascii="Arial" w:hAnsi="Arial" w:cs="Arial"/>
          <w:sz w:val="18"/>
          <w:szCs w:val="18"/>
        </w:rPr>
        <w:t>Invitación</w:t>
      </w:r>
      <w:r w:rsidRPr="001D3C8C">
        <w:rPr>
          <w:rFonts w:ascii="Arial" w:hAnsi="Arial" w:cs="Arial"/>
          <w:sz w:val="18"/>
          <w:szCs w:val="18"/>
        </w:rPr>
        <w:t>.</w:t>
      </w:r>
      <w:r w:rsidRPr="00912BF2">
        <w:rPr>
          <w:rFonts w:ascii="Arial" w:hAnsi="Arial" w:cs="Arial"/>
          <w:sz w:val="18"/>
          <w:szCs w:val="18"/>
        </w:rPr>
        <w:t xml:space="preserve"> </w:t>
      </w:r>
      <w:r w:rsidRPr="00933027">
        <w:rPr>
          <w:rFonts w:ascii="Arial" w:hAnsi="Arial" w:cs="Arial"/>
        </w:rPr>
        <w:t>---------------------------------------------</w:t>
      </w:r>
      <w:r w:rsidRPr="00940207">
        <w:rPr>
          <w:rFonts w:ascii="Arial" w:hAnsi="Arial" w:cs="Arial"/>
          <w:sz w:val="18"/>
          <w:szCs w:val="18"/>
          <w:lang w:val="es-MX"/>
        </w:rPr>
        <w:t xml:space="preserve"> </w:t>
      </w:r>
    </w:p>
    <w:p w:rsidR="0056407E" w:rsidRPr="00B11B18" w:rsidRDefault="0056407E" w:rsidP="0056407E">
      <w:pPr>
        <w:jc w:val="both"/>
        <w:rPr>
          <w:rFonts w:ascii="Arial" w:hAnsi="Arial" w:cs="Arial"/>
          <w:b/>
          <w:bCs/>
          <w:color w:val="000000"/>
          <w:szCs w:val="18"/>
          <w:lang w:val="es-MX"/>
        </w:rPr>
      </w:pPr>
      <w:r w:rsidRPr="00B11B18">
        <w:rPr>
          <w:rFonts w:ascii="Arial" w:hAnsi="Arial" w:cs="Arial"/>
          <w:szCs w:val="18"/>
        </w:rPr>
        <w:t>-----------------------------------------------------------------------------------------------------------------------------</w:t>
      </w:r>
      <w:r>
        <w:rPr>
          <w:rFonts w:ascii="Arial" w:hAnsi="Arial" w:cs="Arial"/>
          <w:szCs w:val="18"/>
        </w:rPr>
        <w:t>-------</w:t>
      </w:r>
    </w:p>
    <w:p w:rsidR="00155633" w:rsidRDefault="00155633" w:rsidP="00155633">
      <w:pPr>
        <w:autoSpaceDE w:val="0"/>
        <w:autoSpaceDN w:val="0"/>
        <w:adjustRightInd w:val="0"/>
        <w:jc w:val="both"/>
        <w:rPr>
          <w:rFonts w:ascii="Arial" w:hAnsi="Arial" w:cs="Arial"/>
          <w:b/>
          <w:bCs/>
          <w:color w:val="000000"/>
          <w:sz w:val="16"/>
          <w:szCs w:val="16"/>
          <w:lang w:val="es-MX"/>
        </w:rPr>
      </w:pPr>
      <w:r w:rsidRPr="00990D90">
        <w:rPr>
          <w:rFonts w:ascii="Arial" w:hAnsi="Arial" w:cs="Arial"/>
          <w:bCs/>
          <w:color w:val="000000"/>
          <w:sz w:val="16"/>
          <w:szCs w:val="16"/>
          <w:lang w:val="es-MX"/>
        </w:rPr>
        <w:t>Para las partidas adjudicadas, se formalizar</w:t>
      </w:r>
      <w:r>
        <w:rPr>
          <w:rFonts w:ascii="Arial" w:hAnsi="Arial" w:cs="Arial"/>
          <w:bCs/>
          <w:color w:val="000000"/>
          <w:sz w:val="16"/>
          <w:szCs w:val="16"/>
          <w:lang w:val="es-MX"/>
        </w:rPr>
        <w:t>á</w:t>
      </w:r>
      <w:r w:rsidRPr="00990D90">
        <w:rPr>
          <w:rFonts w:ascii="Arial" w:hAnsi="Arial" w:cs="Arial"/>
          <w:bCs/>
          <w:color w:val="000000"/>
          <w:sz w:val="16"/>
          <w:szCs w:val="16"/>
          <w:lang w:val="es-MX"/>
        </w:rPr>
        <w:t xml:space="preserve"> esta adquisición mediante contrato de compra – venta a precio fijo en los términos de los artículos 37 fracción v, 44 y 46 de la Ley, la fecha tentativa de firma de contrato lo es el día </w:t>
      </w:r>
      <w:r>
        <w:rPr>
          <w:rFonts w:ascii="Arial" w:hAnsi="Arial" w:cs="Arial"/>
          <w:b/>
          <w:bCs/>
          <w:color w:val="000000"/>
          <w:sz w:val="16"/>
          <w:szCs w:val="16"/>
          <w:lang w:val="es-MX"/>
        </w:rPr>
        <w:t>0</w:t>
      </w:r>
      <w:r w:rsidR="003D7034">
        <w:rPr>
          <w:rFonts w:ascii="Arial" w:hAnsi="Arial" w:cs="Arial"/>
          <w:b/>
          <w:bCs/>
          <w:color w:val="000000"/>
          <w:sz w:val="16"/>
          <w:szCs w:val="16"/>
          <w:lang w:val="es-MX"/>
        </w:rPr>
        <w:t>4</w:t>
      </w:r>
      <w:r w:rsidRPr="00990D90">
        <w:rPr>
          <w:rFonts w:ascii="Arial" w:hAnsi="Arial" w:cs="Arial"/>
          <w:b/>
          <w:bCs/>
          <w:color w:val="000000"/>
          <w:sz w:val="16"/>
          <w:szCs w:val="16"/>
          <w:lang w:val="es-MX"/>
        </w:rPr>
        <w:t xml:space="preserve"> de</w:t>
      </w:r>
      <w:r>
        <w:rPr>
          <w:rFonts w:ascii="Arial" w:hAnsi="Arial" w:cs="Arial"/>
          <w:b/>
          <w:bCs/>
          <w:color w:val="000000"/>
          <w:sz w:val="16"/>
          <w:szCs w:val="16"/>
          <w:lang w:val="es-MX"/>
        </w:rPr>
        <w:t xml:space="preserve"> </w:t>
      </w:r>
      <w:r w:rsidR="00A557B3">
        <w:rPr>
          <w:rFonts w:ascii="Arial" w:hAnsi="Arial" w:cs="Arial"/>
          <w:b/>
          <w:bCs/>
          <w:color w:val="000000"/>
          <w:sz w:val="16"/>
          <w:szCs w:val="16"/>
          <w:lang w:val="es-MX"/>
        </w:rPr>
        <w:t>junio</w:t>
      </w:r>
      <w:r>
        <w:rPr>
          <w:rFonts w:ascii="Arial" w:hAnsi="Arial" w:cs="Arial"/>
          <w:b/>
          <w:bCs/>
          <w:color w:val="000000"/>
          <w:sz w:val="16"/>
          <w:szCs w:val="16"/>
          <w:lang w:val="es-MX"/>
        </w:rPr>
        <w:t xml:space="preserve"> </w:t>
      </w:r>
      <w:r w:rsidRPr="00990D90">
        <w:rPr>
          <w:rFonts w:ascii="Arial" w:hAnsi="Arial" w:cs="Arial"/>
          <w:b/>
          <w:bCs/>
          <w:color w:val="000000"/>
          <w:sz w:val="16"/>
          <w:szCs w:val="16"/>
          <w:lang w:val="es-MX"/>
        </w:rPr>
        <w:t>de 201</w:t>
      </w:r>
      <w:r w:rsidR="00A557B3">
        <w:rPr>
          <w:rFonts w:ascii="Arial" w:hAnsi="Arial" w:cs="Arial"/>
          <w:b/>
          <w:bCs/>
          <w:color w:val="000000"/>
          <w:sz w:val="16"/>
          <w:szCs w:val="16"/>
          <w:lang w:val="es-MX"/>
        </w:rPr>
        <w:t>8</w:t>
      </w:r>
      <w:r w:rsidRPr="00990D90">
        <w:rPr>
          <w:rFonts w:ascii="Arial" w:hAnsi="Arial" w:cs="Arial"/>
          <w:bCs/>
          <w:color w:val="000000"/>
          <w:sz w:val="16"/>
          <w:szCs w:val="16"/>
          <w:lang w:val="es-MX"/>
        </w:rPr>
        <w:t xml:space="preserve"> en el Departamento de Compras de la Dirección General de Finanzas, sita en edificio 1, Ciudad Universitaria, en horario de </w:t>
      </w:r>
      <w:r w:rsidRPr="00990D90">
        <w:rPr>
          <w:rFonts w:ascii="Arial" w:hAnsi="Arial" w:cs="Arial"/>
          <w:b/>
          <w:bCs/>
          <w:color w:val="000000"/>
          <w:sz w:val="16"/>
          <w:szCs w:val="16"/>
          <w:lang w:val="es-MX"/>
        </w:rPr>
        <w:t>1</w:t>
      </w:r>
      <w:r w:rsidR="00A557B3">
        <w:rPr>
          <w:rFonts w:ascii="Arial" w:hAnsi="Arial" w:cs="Arial"/>
          <w:b/>
          <w:bCs/>
          <w:color w:val="000000"/>
          <w:sz w:val="16"/>
          <w:szCs w:val="16"/>
          <w:lang w:val="es-MX"/>
        </w:rPr>
        <w:t>4</w:t>
      </w:r>
      <w:r w:rsidRPr="00990D90">
        <w:rPr>
          <w:rFonts w:ascii="Arial" w:hAnsi="Arial" w:cs="Arial"/>
          <w:b/>
          <w:bCs/>
          <w:color w:val="000000"/>
          <w:sz w:val="16"/>
          <w:szCs w:val="16"/>
          <w:lang w:val="es-MX"/>
        </w:rPr>
        <w:t xml:space="preserve">:00 a 15:00 horas. </w:t>
      </w:r>
      <w:r w:rsidRPr="00990D90">
        <w:rPr>
          <w:rFonts w:ascii="Arial" w:hAnsi="Arial" w:cs="Arial"/>
          <w:color w:val="000000"/>
          <w:sz w:val="16"/>
          <w:szCs w:val="16"/>
        </w:rPr>
        <w:t xml:space="preserve">El </w:t>
      </w:r>
      <w:r w:rsidR="004F05A3">
        <w:rPr>
          <w:rFonts w:ascii="Arial" w:hAnsi="Arial" w:cs="Arial"/>
          <w:color w:val="000000"/>
          <w:sz w:val="16"/>
          <w:szCs w:val="16"/>
        </w:rPr>
        <w:t>invitado</w:t>
      </w:r>
      <w:r w:rsidRPr="00990D90">
        <w:rPr>
          <w:rFonts w:ascii="Arial" w:hAnsi="Arial" w:cs="Arial"/>
          <w:color w:val="000000"/>
          <w:sz w:val="16"/>
          <w:szCs w:val="16"/>
        </w:rPr>
        <w:t xml:space="preserve"> ganador que injustificadamente y por causas imputables al mismo, no formalice el contrato adjudicado, será sancionado de conformidad con lo establecido en el artículo 59 de la Ley. Podrá formalizarse el contrato hasta dentro de los quince días naturales posteriores a la fecha de este fallo como lo establece la Ley y la entrega de la garantía de cumplimiento será a más tardar a los diez naturales posteriores a la fecha de fallo, sin embargo, el plazo de las obligaciones para la entrega inicia al día siguiente de esta fecha, es decir se cuentan al día siguiente de la fecha de fallo.</w:t>
      </w:r>
      <w:r>
        <w:rPr>
          <w:rFonts w:ascii="Arial" w:hAnsi="Arial" w:cs="Arial"/>
          <w:color w:val="000000"/>
          <w:sz w:val="18"/>
          <w:szCs w:val="18"/>
        </w:rPr>
        <w:t xml:space="preserve"> </w:t>
      </w:r>
      <w:r w:rsidRPr="00933027">
        <w:rPr>
          <w:rFonts w:ascii="Arial" w:hAnsi="Arial" w:cs="Arial"/>
        </w:rPr>
        <w:t>---------------------------------------------------------------------------------------------------------------------------------------</w:t>
      </w:r>
    </w:p>
    <w:p w:rsidR="00155633" w:rsidRDefault="00155633" w:rsidP="00155633">
      <w:pPr>
        <w:autoSpaceDE w:val="0"/>
        <w:autoSpaceDN w:val="0"/>
        <w:adjustRightInd w:val="0"/>
        <w:jc w:val="both"/>
        <w:rPr>
          <w:rFonts w:ascii="Arial" w:hAnsi="Arial" w:cs="Arial"/>
          <w:sz w:val="18"/>
          <w:szCs w:val="18"/>
          <w:lang w:val="es-MX"/>
        </w:rPr>
      </w:pPr>
      <w:r w:rsidRPr="002F2BB4">
        <w:rPr>
          <w:rFonts w:ascii="Arial" w:hAnsi="Arial" w:cs="Arial"/>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w:t>
      </w:r>
      <w:r>
        <w:rPr>
          <w:rFonts w:ascii="Arial" w:hAnsi="Arial" w:cs="Arial"/>
          <w:color w:val="000000"/>
          <w:sz w:val="14"/>
          <w:szCs w:val="14"/>
        </w:rPr>
        <w:t>ualizada prevista en la regla 2.1.27</w:t>
      </w:r>
      <w:r w:rsidRPr="002F2BB4">
        <w:rPr>
          <w:rFonts w:ascii="Arial" w:hAnsi="Arial" w:cs="Arial"/>
          <w:color w:val="000000"/>
          <w:sz w:val="14"/>
          <w:szCs w:val="14"/>
        </w:rPr>
        <w:t>, de la miscelánea fiscal para el 201</w:t>
      </w:r>
      <w:r>
        <w:rPr>
          <w:rFonts w:ascii="Arial" w:hAnsi="Arial" w:cs="Arial"/>
          <w:color w:val="000000"/>
          <w:sz w:val="14"/>
          <w:szCs w:val="14"/>
        </w:rPr>
        <w:t>7</w:t>
      </w:r>
      <w:r w:rsidRPr="002F2BB4">
        <w:rPr>
          <w:rFonts w:ascii="Arial" w:hAnsi="Arial" w:cs="Arial"/>
          <w:color w:val="000000"/>
          <w:sz w:val="14"/>
          <w:szCs w:val="14"/>
        </w:rPr>
        <w:t xml:space="preserve"> publicada el </w:t>
      </w:r>
      <w:r>
        <w:rPr>
          <w:rFonts w:ascii="Arial" w:hAnsi="Arial" w:cs="Arial"/>
          <w:color w:val="000000"/>
          <w:sz w:val="14"/>
          <w:szCs w:val="14"/>
        </w:rPr>
        <w:t>23</w:t>
      </w:r>
      <w:r w:rsidRPr="002F2BB4">
        <w:rPr>
          <w:rFonts w:ascii="Arial" w:hAnsi="Arial" w:cs="Arial"/>
          <w:color w:val="000000"/>
          <w:sz w:val="14"/>
          <w:szCs w:val="14"/>
        </w:rPr>
        <w:t xml:space="preserve"> de diciembre de 201</w:t>
      </w:r>
      <w:r>
        <w:rPr>
          <w:rFonts w:ascii="Arial" w:hAnsi="Arial" w:cs="Arial"/>
          <w:color w:val="000000"/>
          <w:sz w:val="14"/>
          <w:szCs w:val="14"/>
        </w:rPr>
        <w:t>6</w:t>
      </w:r>
      <w:r w:rsidRPr="002F2BB4">
        <w:rPr>
          <w:rFonts w:ascii="Arial" w:hAnsi="Arial" w:cs="Arial"/>
          <w:color w:val="000000"/>
          <w:sz w:val="14"/>
          <w:szCs w:val="14"/>
        </w:rPr>
        <w:t xml:space="preserve"> en el Diario Oficial de la Federación. Por lo que el concursante ganador deberá realizar la consulta de opinión ante el SAT en la página: </w:t>
      </w:r>
      <w:hyperlink r:id="rId10" w:history="1">
        <w:r w:rsidRPr="002F2BB4">
          <w:rPr>
            <w:rStyle w:val="Hipervnculo"/>
            <w:rFonts w:ascii="Arial" w:hAnsi="Arial" w:cs="Arial"/>
            <w:color w:val="000000"/>
            <w:sz w:val="14"/>
            <w:szCs w:val="14"/>
          </w:rPr>
          <w:t>http://www.sat.gob.mx</w:t>
        </w:r>
      </w:hyperlink>
      <w:r w:rsidRPr="002F2BB4">
        <w:rPr>
          <w:rFonts w:ascii="Arial" w:hAnsi="Arial" w:cs="Arial"/>
          <w:color w:val="000000"/>
          <w:sz w:val="14"/>
          <w:szCs w:val="14"/>
        </w:rPr>
        <w:t xml:space="preserve">  en la opción “</w:t>
      </w:r>
      <w:r>
        <w:rPr>
          <w:rFonts w:ascii="Arial" w:hAnsi="Arial" w:cs="Arial"/>
          <w:color w:val="000000"/>
          <w:sz w:val="14"/>
          <w:szCs w:val="14"/>
        </w:rPr>
        <w:t>M</w:t>
      </w:r>
      <w:r w:rsidRPr="002F2BB4">
        <w:rPr>
          <w:rFonts w:ascii="Arial" w:hAnsi="Arial" w:cs="Arial"/>
          <w:color w:val="000000"/>
          <w:sz w:val="14"/>
          <w:szCs w:val="14"/>
        </w:rPr>
        <w:t xml:space="preserve">i portal”, preferentemente dentro de los tres días hábiles posteriores a la fecha de notificación del fallo del presente </w:t>
      </w:r>
      <w:r>
        <w:rPr>
          <w:rFonts w:ascii="Arial" w:hAnsi="Arial" w:cs="Arial"/>
          <w:color w:val="000000"/>
          <w:sz w:val="14"/>
          <w:szCs w:val="14"/>
        </w:rPr>
        <w:t>procedimiento</w:t>
      </w:r>
      <w:r w:rsidRPr="002F2BB4">
        <w:rPr>
          <w:rFonts w:ascii="Arial" w:hAnsi="Arial" w:cs="Arial"/>
          <w:color w:val="000000"/>
          <w:sz w:val="14"/>
          <w:szCs w:val="14"/>
        </w:rPr>
        <w:t xml:space="preserve">, debiendo incluir en dicha solicitud el correo electrónico </w:t>
      </w:r>
      <w:hyperlink r:id="rId11" w:history="1">
        <w:r w:rsidRPr="00C31723">
          <w:rPr>
            <w:rStyle w:val="Hipervnculo"/>
            <w:rFonts w:ascii="Arial" w:hAnsi="Arial" w:cs="Arial"/>
            <w:sz w:val="14"/>
            <w:szCs w:val="14"/>
          </w:rPr>
          <w:t>brivera@correo.uaa.mx</w:t>
        </w:r>
      </w:hyperlink>
      <w:r w:rsidRPr="002F2BB4">
        <w:rPr>
          <w:rFonts w:ascii="Arial" w:hAnsi="Arial" w:cs="Arial"/>
          <w:color w:val="000000"/>
          <w:sz w:val="14"/>
          <w:szCs w:val="14"/>
        </w:rPr>
        <w:t xml:space="preserve"> para que el SAT envié el “</w:t>
      </w:r>
      <w:r>
        <w:rPr>
          <w:rFonts w:ascii="Arial" w:hAnsi="Arial" w:cs="Arial"/>
          <w:color w:val="000000"/>
          <w:sz w:val="14"/>
          <w:szCs w:val="14"/>
        </w:rPr>
        <w:t>A</w:t>
      </w:r>
      <w:r w:rsidRPr="002F2BB4">
        <w:rPr>
          <w:rFonts w:ascii="Arial" w:hAnsi="Arial" w:cs="Arial"/>
          <w:color w:val="000000"/>
          <w:sz w:val="14"/>
          <w:szCs w:val="14"/>
        </w:rPr>
        <w:t>cuse de respuesta” que emitirá en atención a su solicitud de opinión.</w:t>
      </w:r>
      <w:r>
        <w:rPr>
          <w:rFonts w:ascii="Arial" w:hAnsi="Arial" w:cs="Arial"/>
          <w:color w:val="000000"/>
          <w:sz w:val="14"/>
          <w:szCs w:val="14"/>
        </w:rPr>
        <w:t xml:space="preserve"> </w:t>
      </w:r>
      <w:r w:rsidRPr="006A3F88">
        <w:rPr>
          <w:rFonts w:ascii="Arial" w:hAnsi="Arial" w:cs="Arial"/>
          <w:sz w:val="14"/>
          <w:szCs w:val="14"/>
        </w:rPr>
        <w:t>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w:t>
      </w:r>
      <w:r>
        <w:rPr>
          <w:rFonts w:ascii="Arial" w:hAnsi="Arial" w:cs="Arial"/>
          <w:sz w:val="14"/>
          <w:szCs w:val="14"/>
        </w:rPr>
        <w:t xml:space="preserve"> se</w:t>
      </w:r>
      <w:r w:rsidRPr="006A3F88">
        <w:rPr>
          <w:rFonts w:ascii="Arial" w:hAnsi="Arial" w:cs="Arial"/>
          <w:sz w:val="14"/>
          <w:szCs w:val="14"/>
        </w:rPr>
        <w:t xml:space="preserve"> procederá a remitir a la Secretaría de la Función Pública la documentación de los hechos presumiblemente constitutivos de infracción por la falta de formalización del contrato o pedido, por causas imputables al adjudicado. </w:t>
      </w:r>
      <w:r w:rsidRPr="006A3F88">
        <w:rPr>
          <w:rFonts w:ascii="Arial" w:hAnsi="Arial" w:cs="Arial"/>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r>
        <w:rPr>
          <w:rFonts w:ascii="Arial" w:hAnsi="Arial" w:cs="Arial"/>
          <w:color w:val="000000"/>
          <w:sz w:val="14"/>
          <w:szCs w:val="14"/>
        </w:rPr>
        <w:t>. Se deberá entregar  respuesta positiva del IMSS, d</w:t>
      </w:r>
      <w:r w:rsidRPr="00D163C9">
        <w:rPr>
          <w:rFonts w:ascii="Arial" w:hAnsi="Arial" w:cs="Arial"/>
          <w:color w:val="000000"/>
          <w:sz w:val="14"/>
          <w:szCs w:val="14"/>
        </w:rPr>
        <w:t>e conformidad al ACUERDO ACDO.SA1.HCT.101214/281.P.DIR y su Anexo Único, dictado por el H. Consejo Técnico, relativo a las Reglas para la obtención de la opinión de cumplimiento de obligaciones fiscales en materia de seguridad social,  del Instituto Mexicano del Seguro Social, publicado en el Diario Oficial el 27 de Febrero de 2015, para aquellos contratos cuyo monto exceda de $300,000.00 (TRESCIENTOS MIL PESOS 00/100 M.N.), sin incluir el Impuesto al Valor Agregado,</w:t>
      </w:r>
      <w:r>
        <w:rPr>
          <w:rFonts w:ascii="Arial" w:hAnsi="Arial" w:cs="Arial"/>
          <w:color w:val="000000"/>
          <w:sz w:val="14"/>
          <w:szCs w:val="14"/>
        </w:rPr>
        <w:t xml:space="preserve"> </w:t>
      </w:r>
      <w:r w:rsidRPr="00D163C9">
        <w:rPr>
          <w:rFonts w:ascii="Arial" w:hAnsi="Arial" w:cs="Arial"/>
          <w:color w:val="000000"/>
          <w:sz w:val="14"/>
          <w:szCs w:val="14"/>
        </w:rPr>
        <w:t xml:space="preserve">deberán presentar constancia de estar al corriente en sus obligaciones en materia de seguridad social. </w:t>
      </w:r>
      <w:r w:rsidRPr="00933027">
        <w:rPr>
          <w:rFonts w:ascii="Arial" w:hAnsi="Arial" w:cs="Arial"/>
        </w:rPr>
        <w:t>-------------------------------------------------------------------------------------------------------------------------</w:t>
      </w:r>
      <w:r w:rsidRPr="00F24E62">
        <w:rPr>
          <w:rFonts w:ascii="Arial" w:hAnsi="Arial" w:cs="Arial"/>
        </w:rPr>
        <w:t>--------------</w:t>
      </w:r>
      <w:r w:rsidRPr="00933027">
        <w:rPr>
          <w:rFonts w:ascii="Arial" w:hAnsi="Arial" w:cs="Arial"/>
        </w:rPr>
        <w:t>--------------------------------------------------------------------------------------------</w:t>
      </w:r>
      <w:r>
        <w:rPr>
          <w:rFonts w:ascii="Arial" w:hAnsi="Arial" w:cs="Arial"/>
        </w:rPr>
        <w:t>-------------------------------</w:t>
      </w:r>
    </w:p>
    <w:p w:rsidR="008D65B6" w:rsidRPr="00AF552F" w:rsidRDefault="0069303A" w:rsidP="00AF552F">
      <w:pPr>
        <w:pStyle w:val="Sangradetextonormal"/>
        <w:pBdr>
          <w:bottom w:val="single" w:sz="6" w:space="0" w:color="auto"/>
        </w:pBdr>
        <w:ind w:left="0"/>
        <w:jc w:val="both"/>
        <w:rPr>
          <w:rFonts w:ascii="Arial" w:hAnsi="Arial" w:cs="Arial"/>
          <w:color w:val="000000"/>
          <w:sz w:val="16"/>
          <w:szCs w:val="16"/>
          <w:lang w:val="es-ES"/>
        </w:rPr>
      </w:pPr>
      <w:r w:rsidRPr="00933027">
        <w:rPr>
          <w:rFonts w:ascii="Arial" w:hAnsi="Arial" w:cs="Arial"/>
          <w:color w:val="000000"/>
          <w:sz w:val="16"/>
          <w:szCs w:val="16"/>
        </w:rPr>
        <w:t xml:space="preserve">Para efectos de la notificación, a partir de esta fecha se pone a disposición de los licitantes que no hayan asistido a este acto, copia de esta Acta en: el Departamento de Compras de la Dirección General de Finanzas de la </w:t>
      </w:r>
      <w:r w:rsidRPr="00625FF9">
        <w:rPr>
          <w:rFonts w:ascii="Arial" w:hAnsi="Arial" w:cs="Arial"/>
          <w:color w:val="000000"/>
          <w:sz w:val="16"/>
          <w:szCs w:val="16"/>
        </w:rPr>
        <w:t xml:space="preserve">Universidad, edificio 1, domicilio de la convocante, por un término no menor de cinco días hábiles, siendo de la exclusiva responsabilidad de los </w:t>
      </w:r>
      <w:r w:rsidR="00A557B3">
        <w:rPr>
          <w:rFonts w:ascii="Arial" w:hAnsi="Arial" w:cs="Arial"/>
          <w:color w:val="000000"/>
          <w:sz w:val="16"/>
          <w:szCs w:val="16"/>
        </w:rPr>
        <w:t>invitados</w:t>
      </w:r>
      <w:r w:rsidRPr="00625FF9">
        <w:rPr>
          <w:rFonts w:ascii="Arial" w:hAnsi="Arial" w:cs="Arial"/>
          <w:color w:val="000000"/>
          <w:sz w:val="16"/>
          <w:szCs w:val="16"/>
        </w:rPr>
        <w:t xml:space="preserve">, acudir a enterarse de su contenido y obtener copia de la misma. Este procedimiento sustituye a la notificación personal. La información también estará disponible en la dirección electrónica: </w:t>
      </w:r>
      <w:hyperlink r:id="rId12" w:history="1">
        <w:r w:rsidRPr="00625FF9">
          <w:rPr>
            <w:rStyle w:val="Hipervnculo"/>
            <w:rFonts w:ascii="Arial" w:hAnsi="Arial" w:cs="Arial"/>
            <w:sz w:val="16"/>
            <w:szCs w:val="16"/>
          </w:rPr>
          <w:t>www.compranet.gob.mx</w:t>
        </w:r>
      </w:hyperlink>
      <w:r w:rsidRPr="00194769">
        <w:rPr>
          <w:rStyle w:val="Hipervnculo"/>
          <w:rFonts w:cs="Arial"/>
          <w:sz w:val="16"/>
          <w:szCs w:val="16"/>
        </w:rPr>
        <w:t xml:space="preserve"> </w:t>
      </w:r>
      <w:r w:rsidRPr="00F24E62">
        <w:rPr>
          <w:rFonts w:ascii="Arial" w:hAnsi="Arial" w:cs="Arial"/>
        </w:rPr>
        <w:t>-----------------------------------------------------------------------------------------------------------------------------------------------</w:t>
      </w:r>
      <w:r w:rsidR="00B54FB6" w:rsidRPr="00F24E62">
        <w:rPr>
          <w:rFonts w:ascii="Arial" w:hAnsi="Arial" w:cs="Arial"/>
        </w:rPr>
        <w:t>---------------</w:t>
      </w:r>
      <w:r w:rsidR="00FE1DEC" w:rsidRPr="00F24E62">
        <w:rPr>
          <w:rFonts w:ascii="Arial" w:hAnsi="Arial" w:cs="Arial"/>
        </w:rPr>
        <w:t>--------------------</w:t>
      </w:r>
      <w:r w:rsidR="008D65B6" w:rsidRPr="00F24E62">
        <w:rPr>
          <w:rFonts w:ascii="Arial" w:hAnsi="Arial" w:cs="Arial"/>
          <w:b/>
        </w:rPr>
        <w:t>Intervienen por la Universidad Autónoma de Aguascalientes</w:t>
      </w:r>
      <w:r w:rsidR="00FE1DEC" w:rsidRPr="00F24E62">
        <w:rPr>
          <w:rFonts w:ascii="Arial" w:hAnsi="Arial" w:cs="Arial"/>
        </w:rPr>
        <w:t>-----------------------------------------------------------------------------------------------------------------------------------------------------------</w:t>
      </w:r>
    </w:p>
    <w:tbl>
      <w:tblPr>
        <w:tblW w:w="8865"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62"/>
        <w:gridCol w:w="14"/>
        <w:gridCol w:w="4452"/>
        <w:gridCol w:w="37"/>
      </w:tblGrid>
      <w:tr w:rsidR="00EE058B" w:rsidRPr="00AE25AA" w:rsidTr="00DF1032">
        <w:tc>
          <w:tcPr>
            <w:tcW w:w="4376" w:type="dxa"/>
            <w:gridSpan w:val="2"/>
          </w:tcPr>
          <w:p w:rsidR="00EE058B" w:rsidRDefault="00EE058B" w:rsidP="00EE058B">
            <w:pPr>
              <w:pStyle w:val="Sangradetextonormal"/>
              <w:ind w:left="0"/>
              <w:rPr>
                <w:rFonts w:ascii="Arial" w:hAnsi="Arial" w:cs="Arial"/>
                <w:b/>
                <w:sz w:val="18"/>
                <w:szCs w:val="18"/>
                <w:lang w:val="es-ES"/>
              </w:rPr>
            </w:pPr>
          </w:p>
          <w:p w:rsidR="00EE058B" w:rsidRPr="00EE058B" w:rsidRDefault="00EE058B" w:rsidP="00EE058B">
            <w:pPr>
              <w:pStyle w:val="Sangradetextonormal"/>
              <w:ind w:left="0"/>
              <w:rPr>
                <w:rFonts w:ascii="Arial" w:hAnsi="Arial" w:cs="Arial"/>
                <w:b/>
                <w:sz w:val="18"/>
                <w:szCs w:val="18"/>
                <w:lang w:val="es-ES"/>
              </w:rPr>
            </w:pPr>
            <w:r w:rsidRPr="00EE058B">
              <w:rPr>
                <w:rFonts w:ascii="Arial" w:hAnsi="Arial" w:cs="Arial"/>
                <w:b/>
                <w:sz w:val="18"/>
                <w:szCs w:val="18"/>
                <w:lang w:val="es-ES"/>
              </w:rPr>
              <w:t>C.P. y M.F. Natalia Magdaleno Ramírez</w:t>
            </w:r>
          </w:p>
          <w:p w:rsidR="00EE058B" w:rsidRPr="00EE058B" w:rsidRDefault="00EE058B" w:rsidP="00EE058B">
            <w:pPr>
              <w:pStyle w:val="Sangradetextonormal"/>
              <w:ind w:left="0"/>
              <w:rPr>
                <w:rFonts w:ascii="Arial" w:hAnsi="Arial" w:cs="Arial"/>
                <w:sz w:val="18"/>
                <w:szCs w:val="18"/>
                <w:lang w:val="es-ES"/>
              </w:rPr>
            </w:pPr>
            <w:r w:rsidRPr="00EE058B">
              <w:rPr>
                <w:rFonts w:ascii="Arial" w:hAnsi="Arial" w:cs="Arial"/>
                <w:sz w:val="18"/>
                <w:szCs w:val="18"/>
                <w:lang w:val="es-ES"/>
              </w:rPr>
              <w:t>D</w:t>
            </w:r>
            <w:r>
              <w:rPr>
                <w:rFonts w:ascii="Arial" w:hAnsi="Arial" w:cs="Arial"/>
                <w:sz w:val="18"/>
                <w:szCs w:val="18"/>
                <w:lang w:val="es-ES"/>
              </w:rPr>
              <w:t>irectora</w:t>
            </w:r>
            <w:r w:rsidRPr="00EE058B">
              <w:rPr>
                <w:rFonts w:ascii="Arial" w:hAnsi="Arial" w:cs="Arial"/>
                <w:sz w:val="18"/>
                <w:szCs w:val="18"/>
                <w:lang w:val="es-ES"/>
              </w:rPr>
              <w:t xml:space="preserve"> G</w:t>
            </w:r>
            <w:r>
              <w:rPr>
                <w:rFonts w:ascii="Arial" w:hAnsi="Arial" w:cs="Arial"/>
                <w:sz w:val="18"/>
                <w:szCs w:val="18"/>
                <w:lang w:val="es-ES"/>
              </w:rPr>
              <w:t>eneral de</w:t>
            </w:r>
            <w:r w:rsidRPr="00EE058B">
              <w:rPr>
                <w:rFonts w:ascii="Arial" w:hAnsi="Arial" w:cs="Arial"/>
                <w:sz w:val="18"/>
                <w:szCs w:val="18"/>
                <w:lang w:val="es-ES"/>
              </w:rPr>
              <w:t xml:space="preserve"> F</w:t>
            </w:r>
            <w:r>
              <w:rPr>
                <w:rFonts w:ascii="Arial" w:hAnsi="Arial" w:cs="Arial"/>
                <w:sz w:val="18"/>
                <w:szCs w:val="18"/>
                <w:lang w:val="es-ES"/>
              </w:rPr>
              <w:t>inanzas</w:t>
            </w:r>
          </w:p>
        </w:tc>
        <w:tc>
          <w:tcPr>
            <w:tcW w:w="4489" w:type="dxa"/>
            <w:gridSpan w:val="2"/>
          </w:tcPr>
          <w:p w:rsidR="00EE058B" w:rsidRPr="00AE25AA" w:rsidRDefault="00EE058B" w:rsidP="00EE058B">
            <w:pPr>
              <w:pStyle w:val="Sangradetextonormal"/>
              <w:ind w:left="0"/>
              <w:jc w:val="center"/>
              <w:rPr>
                <w:rFonts w:ascii="Arial" w:hAnsi="Arial" w:cs="Arial"/>
                <w:b/>
                <w:sz w:val="18"/>
                <w:szCs w:val="18"/>
              </w:rPr>
            </w:pPr>
          </w:p>
          <w:p w:rsidR="00EE058B" w:rsidRPr="00AE25AA" w:rsidRDefault="00EE058B" w:rsidP="00EE058B">
            <w:pPr>
              <w:pStyle w:val="Sangradetextonormal"/>
              <w:ind w:left="0"/>
              <w:jc w:val="center"/>
              <w:rPr>
                <w:rFonts w:ascii="Arial" w:hAnsi="Arial" w:cs="Arial"/>
                <w:b/>
                <w:sz w:val="18"/>
                <w:szCs w:val="18"/>
              </w:rPr>
            </w:pPr>
            <w:r w:rsidRPr="00AE25AA">
              <w:rPr>
                <w:rFonts w:ascii="Arial" w:hAnsi="Arial" w:cs="Arial"/>
                <w:b/>
                <w:sz w:val="18"/>
                <w:szCs w:val="18"/>
              </w:rPr>
              <w:t>____________________________________</w:t>
            </w:r>
          </w:p>
        </w:tc>
      </w:tr>
      <w:tr w:rsidR="00DF1032" w:rsidRPr="00AE25AA" w:rsidTr="00DF1032">
        <w:tc>
          <w:tcPr>
            <w:tcW w:w="4376" w:type="dxa"/>
            <w:gridSpan w:val="2"/>
          </w:tcPr>
          <w:p w:rsidR="00DF1032" w:rsidRDefault="00DF1032" w:rsidP="00D921FC">
            <w:pPr>
              <w:pStyle w:val="Sangradetextonormal"/>
              <w:ind w:left="0"/>
              <w:rPr>
                <w:rFonts w:ascii="Arial" w:hAnsi="Arial" w:cs="Arial"/>
                <w:b/>
                <w:sz w:val="18"/>
                <w:szCs w:val="18"/>
              </w:rPr>
            </w:pPr>
          </w:p>
          <w:p w:rsidR="00DF1032" w:rsidRPr="00AE25AA" w:rsidRDefault="004F05A3" w:rsidP="00D921FC">
            <w:pPr>
              <w:pStyle w:val="Sangradetextonormal"/>
              <w:ind w:left="0"/>
              <w:rPr>
                <w:rFonts w:ascii="Arial" w:hAnsi="Arial" w:cs="Arial"/>
                <w:b/>
                <w:sz w:val="18"/>
                <w:szCs w:val="18"/>
                <w:lang w:val="es-ES"/>
              </w:rPr>
            </w:pPr>
            <w:r>
              <w:rPr>
                <w:rFonts w:ascii="Arial" w:hAnsi="Arial" w:cs="Arial"/>
                <w:b/>
                <w:sz w:val="18"/>
                <w:szCs w:val="18"/>
                <w:lang w:val="es-ES"/>
              </w:rPr>
              <w:t>M. En A.</w:t>
            </w:r>
            <w:r w:rsidR="00DF1032" w:rsidRPr="00AE25AA">
              <w:rPr>
                <w:rFonts w:ascii="Arial" w:hAnsi="Arial" w:cs="Arial"/>
                <w:b/>
                <w:sz w:val="18"/>
                <w:szCs w:val="18"/>
                <w:lang w:val="es-ES"/>
              </w:rPr>
              <w:t xml:space="preserve"> Beatriz E. Rivera de Loera</w:t>
            </w:r>
          </w:p>
          <w:p w:rsidR="00DF1032" w:rsidRPr="00E9257A" w:rsidRDefault="00DF1032" w:rsidP="00D921FC">
            <w:pPr>
              <w:pStyle w:val="Sangradetextonormal"/>
              <w:ind w:left="0"/>
              <w:rPr>
                <w:rFonts w:ascii="Arial" w:hAnsi="Arial" w:cs="Arial"/>
                <w:sz w:val="18"/>
                <w:szCs w:val="18"/>
                <w:lang w:val="es-ES"/>
              </w:rPr>
            </w:pPr>
            <w:r w:rsidRPr="00AE25AA">
              <w:rPr>
                <w:rFonts w:ascii="Arial" w:hAnsi="Arial" w:cs="Arial"/>
                <w:sz w:val="18"/>
                <w:szCs w:val="18"/>
                <w:lang w:val="es-ES"/>
              </w:rPr>
              <w:t>Jef</w:t>
            </w:r>
            <w:r>
              <w:rPr>
                <w:rFonts w:ascii="Arial" w:hAnsi="Arial" w:cs="Arial"/>
                <w:sz w:val="18"/>
                <w:szCs w:val="18"/>
                <w:lang w:val="es-ES"/>
              </w:rPr>
              <w:t>a del Departamento de Compras</w:t>
            </w:r>
            <w:r w:rsidRPr="00AE25AA">
              <w:rPr>
                <w:rFonts w:ascii="Arial" w:hAnsi="Arial" w:cs="Arial"/>
                <w:sz w:val="18"/>
                <w:szCs w:val="18"/>
                <w:lang w:val="es-ES"/>
              </w:rPr>
              <w:t xml:space="preserve"> </w:t>
            </w:r>
          </w:p>
        </w:tc>
        <w:tc>
          <w:tcPr>
            <w:tcW w:w="4489" w:type="dxa"/>
            <w:gridSpan w:val="2"/>
          </w:tcPr>
          <w:p w:rsidR="00DF1032" w:rsidRPr="00AE25AA" w:rsidRDefault="00DF1032" w:rsidP="00D921FC">
            <w:pPr>
              <w:pStyle w:val="Sangradetextonormal"/>
              <w:ind w:left="0"/>
              <w:jc w:val="center"/>
              <w:rPr>
                <w:rFonts w:ascii="Arial" w:hAnsi="Arial" w:cs="Arial"/>
                <w:b/>
                <w:sz w:val="18"/>
                <w:szCs w:val="18"/>
              </w:rPr>
            </w:pPr>
          </w:p>
          <w:p w:rsidR="00DF1032" w:rsidRPr="00AE25AA" w:rsidRDefault="00DF1032" w:rsidP="00D921FC">
            <w:pPr>
              <w:pStyle w:val="Sangradetextonormal"/>
              <w:ind w:left="0"/>
              <w:jc w:val="center"/>
              <w:rPr>
                <w:rFonts w:ascii="Arial" w:hAnsi="Arial" w:cs="Arial"/>
                <w:b/>
                <w:sz w:val="18"/>
                <w:szCs w:val="18"/>
              </w:rPr>
            </w:pPr>
            <w:r w:rsidRPr="00AE25AA">
              <w:rPr>
                <w:rFonts w:ascii="Arial" w:hAnsi="Arial" w:cs="Arial"/>
                <w:b/>
                <w:sz w:val="18"/>
                <w:szCs w:val="18"/>
              </w:rPr>
              <w:t>____________________________________</w:t>
            </w:r>
          </w:p>
        </w:tc>
      </w:tr>
      <w:tr w:rsidR="00DF1032" w:rsidRPr="00AE25AA" w:rsidTr="00DF1032">
        <w:tc>
          <w:tcPr>
            <w:tcW w:w="4376" w:type="dxa"/>
            <w:gridSpan w:val="2"/>
          </w:tcPr>
          <w:p w:rsidR="00DF1032" w:rsidRPr="00AE25AA" w:rsidRDefault="00DF1032" w:rsidP="00D921FC">
            <w:pPr>
              <w:pStyle w:val="Sangradetextonormal"/>
              <w:ind w:left="0"/>
              <w:rPr>
                <w:rFonts w:ascii="Arial" w:hAnsi="Arial" w:cs="Arial"/>
                <w:b/>
                <w:sz w:val="18"/>
                <w:szCs w:val="18"/>
                <w:lang w:val="es-ES"/>
              </w:rPr>
            </w:pPr>
          </w:p>
          <w:p w:rsidR="00DF1032" w:rsidRPr="00AE25AA" w:rsidRDefault="00DF1032" w:rsidP="00D921FC">
            <w:pPr>
              <w:pStyle w:val="Sangradetextonormal"/>
              <w:ind w:left="0"/>
              <w:rPr>
                <w:rFonts w:ascii="Arial" w:hAnsi="Arial" w:cs="Arial"/>
                <w:b/>
                <w:sz w:val="18"/>
                <w:szCs w:val="18"/>
                <w:lang w:val="es-ES"/>
              </w:rPr>
            </w:pPr>
            <w:r>
              <w:rPr>
                <w:rFonts w:ascii="Arial" w:hAnsi="Arial" w:cs="Arial"/>
                <w:b/>
                <w:sz w:val="18"/>
                <w:szCs w:val="18"/>
                <w:lang w:val="es-ES"/>
              </w:rPr>
              <w:t>L.E. Fernando Delgado Espejo</w:t>
            </w:r>
          </w:p>
          <w:p w:rsidR="00DF1032" w:rsidRPr="00AE25AA" w:rsidRDefault="00DF1032" w:rsidP="00D921FC">
            <w:pPr>
              <w:pStyle w:val="Sangradetextonormal"/>
              <w:ind w:left="0"/>
              <w:rPr>
                <w:rFonts w:ascii="Arial" w:hAnsi="Arial" w:cs="Arial"/>
                <w:sz w:val="18"/>
                <w:szCs w:val="18"/>
                <w:lang w:val="es-ES"/>
              </w:rPr>
            </w:pPr>
            <w:r w:rsidRPr="00AE25AA">
              <w:rPr>
                <w:rFonts w:ascii="Arial" w:hAnsi="Arial" w:cs="Arial"/>
                <w:sz w:val="18"/>
                <w:szCs w:val="18"/>
                <w:lang w:val="es-ES"/>
              </w:rPr>
              <w:t>Representante de la Contraloría Universitaria</w:t>
            </w:r>
          </w:p>
          <w:p w:rsidR="00DF1032" w:rsidRPr="00AE25AA" w:rsidRDefault="00DF1032" w:rsidP="00D921FC">
            <w:pPr>
              <w:pStyle w:val="Sangradetextonormal"/>
              <w:ind w:left="0"/>
              <w:rPr>
                <w:rFonts w:ascii="Arial" w:hAnsi="Arial" w:cs="Arial"/>
                <w:b/>
                <w:sz w:val="18"/>
                <w:szCs w:val="18"/>
                <w:lang w:val="es-ES"/>
              </w:rPr>
            </w:pPr>
          </w:p>
        </w:tc>
        <w:tc>
          <w:tcPr>
            <w:tcW w:w="4489" w:type="dxa"/>
            <w:gridSpan w:val="2"/>
          </w:tcPr>
          <w:p w:rsidR="00DF1032" w:rsidRPr="00AE25AA" w:rsidRDefault="00DF1032" w:rsidP="00D921FC">
            <w:pPr>
              <w:pStyle w:val="Sangradetextonormal"/>
              <w:ind w:left="0"/>
              <w:jc w:val="center"/>
              <w:rPr>
                <w:rFonts w:ascii="Arial" w:hAnsi="Arial" w:cs="Arial"/>
                <w:b/>
                <w:sz w:val="18"/>
                <w:szCs w:val="18"/>
              </w:rPr>
            </w:pPr>
          </w:p>
          <w:p w:rsidR="00DF1032" w:rsidRPr="00AE25AA" w:rsidRDefault="00DF1032" w:rsidP="00D921FC">
            <w:pPr>
              <w:pStyle w:val="Sangradetextonormal"/>
              <w:ind w:left="0"/>
              <w:jc w:val="center"/>
              <w:rPr>
                <w:rFonts w:ascii="Arial" w:hAnsi="Arial" w:cs="Arial"/>
                <w:b/>
                <w:sz w:val="18"/>
                <w:szCs w:val="18"/>
              </w:rPr>
            </w:pPr>
          </w:p>
          <w:p w:rsidR="00DF1032" w:rsidRPr="00AE25AA" w:rsidRDefault="00DF1032" w:rsidP="00D921FC">
            <w:pPr>
              <w:pStyle w:val="Sangradetextonormal"/>
              <w:ind w:left="0"/>
              <w:jc w:val="center"/>
              <w:rPr>
                <w:rFonts w:ascii="Arial" w:hAnsi="Arial" w:cs="Arial"/>
                <w:b/>
                <w:sz w:val="18"/>
                <w:szCs w:val="18"/>
              </w:rPr>
            </w:pPr>
            <w:r w:rsidRPr="00AE25AA">
              <w:rPr>
                <w:rFonts w:ascii="Arial" w:hAnsi="Arial" w:cs="Arial"/>
                <w:b/>
                <w:sz w:val="18"/>
                <w:szCs w:val="18"/>
              </w:rPr>
              <w:t>____________________________________</w:t>
            </w:r>
          </w:p>
        </w:tc>
      </w:tr>
      <w:tr w:rsidR="00423A86" w:rsidRPr="009E124F" w:rsidTr="00DF1032">
        <w:trPr>
          <w:gridAfter w:val="1"/>
          <w:wAfter w:w="37" w:type="dxa"/>
        </w:trPr>
        <w:tc>
          <w:tcPr>
            <w:tcW w:w="4362" w:type="dxa"/>
          </w:tcPr>
          <w:p w:rsidR="00423A86" w:rsidRDefault="00423A86" w:rsidP="00F45438">
            <w:pPr>
              <w:pStyle w:val="Sangradetextonormal"/>
              <w:ind w:left="0"/>
              <w:rPr>
                <w:rFonts w:ascii="Arial" w:hAnsi="Arial" w:cs="Arial"/>
                <w:b/>
                <w:sz w:val="18"/>
                <w:szCs w:val="18"/>
                <w:lang w:val="es-ES"/>
              </w:rPr>
            </w:pPr>
          </w:p>
          <w:p w:rsidR="00423A86" w:rsidRPr="00222C0A" w:rsidRDefault="00423A86" w:rsidP="00F45438">
            <w:pPr>
              <w:pStyle w:val="Sangradetextonormal"/>
              <w:ind w:left="0"/>
              <w:rPr>
                <w:rFonts w:ascii="Arial" w:hAnsi="Arial" w:cs="Arial"/>
                <w:b/>
                <w:sz w:val="18"/>
                <w:szCs w:val="18"/>
              </w:rPr>
            </w:pPr>
            <w:r w:rsidRPr="00222C0A">
              <w:rPr>
                <w:rFonts w:ascii="Arial" w:hAnsi="Arial" w:cs="Arial"/>
                <w:b/>
                <w:sz w:val="18"/>
                <w:szCs w:val="18"/>
              </w:rPr>
              <w:t xml:space="preserve">Lic. </w:t>
            </w:r>
            <w:r w:rsidR="00155633">
              <w:rPr>
                <w:rFonts w:ascii="Arial" w:hAnsi="Arial" w:cs="Arial"/>
                <w:b/>
                <w:sz w:val="18"/>
                <w:szCs w:val="18"/>
              </w:rPr>
              <w:t>Valeria González</w:t>
            </w:r>
            <w:r w:rsidR="0015305A">
              <w:rPr>
                <w:rFonts w:ascii="Arial" w:hAnsi="Arial" w:cs="Arial"/>
                <w:b/>
                <w:sz w:val="18"/>
                <w:szCs w:val="18"/>
              </w:rPr>
              <w:t xml:space="preserve"> Ramírez</w:t>
            </w:r>
          </w:p>
          <w:p w:rsidR="00423A86" w:rsidRDefault="00423A86" w:rsidP="00F45438">
            <w:pPr>
              <w:pStyle w:val="Sangradetextonormal"/>
              <w:ind w:left="0"/>
              <w:rPr>
                <w:rFonts w:ascii="Arial" w:hAnsi="Arial" w:cs="Arial"/>
                <w:sz w:val="18"/>
                <w:szCs w:val="18"/>
                <w:lang w:val="es-ES"/>
              </w:rPr>
            </w:pPr>
            <w:r w:rsidRPr="009E124F">
              <w:rPr>
                <w:rFonts w:ascii="Arial" w:hAnsi="Arial" w:cs="Arial"/>
                <w:sz w:val="18"/>
                <w:szCs w:val="18"/>
                <w:lang w:val="es-ES"/>
              </w:rPr>
              <w:t>Representante del Departamento Jurídico</w:t>
            </w:r>
          </w:p>
          <w:p w:rsidR="006C5CCC" w:rsidRPr="00341EB6" w:rsidRDefault="006C5CCC" w:rsidP="00F45438">
            <w:pPr>
              <w:pStyle w:val="Sangradetextonormal"/>
              <w:ind w:left="0"/>
              <w:rPr>
                <w:rFonts w:ascii="Arial" w:hAnsi="Arial" w:cs="Arial"/>
                <w:sz w:val="18"/>
                <w:szCs w:val="18"/>
                <w:lang w:val="es-ES"/>
              </w:rPr>
            </w:pPr>
          </w:p>
        </w:tc>
        <w:tc>
          <w:tcPr>
            <w:tcW w:w="4466" w:type="dxa"/>
            <w:gridSpan w:val="2"/>
          </w:tcPr>
          <w:p w:rsidR="00423A86" w:rsidRPr="009E124F" w:rsidRDefault="00423A86" w:rsidP="00F45438">
            <w:pPr>
              <w:pStyle w:val="Sangradetextonormal"/>
              <w:ind w:left="0"/>
              <w:jc w:val="center"/>
              <w:rPr>
                <w:rFonts w:ascii="Arial" w:hAnsi="Arial" w:cs="Arial"/>
                <w:b/>
                <w:sz w:val="18"/>
                <w:szCs w:val="18"/>
              </w:rPr>
            </w:pPr>
          </w:p>
          <w:p w:rsidR="006C5CCC" w:rsidRDefault="006C5CCC" w:rsidP="00F45438">
            <w:pPr>
              <w:pStyle w:val="Sangradetextonormal"/>
              <w:ind w:left="0"/>
              <w:jc w:val="center"/>
              <w:rPr>
                <w:rFonts w:ascii="Arial" w:hAnsi="Arial" w:cs="Arial"/>
                <w:b/>
                <w:sz w:val="18"/>
                <w:szCs w:val="18"/>
              </w:rPr>
            </w:pPr>
          </w:p>
          <w:p w:rsidR="00423A86" w:rsidRPr="009E124F" w:rsidRDefault="00423A86" w:rsidP="00F45438">
            <w:pPr>
              <w:pStyle w:val="Sangradetextonormal"/>
              <w:ind w:left="0"/>
              <w:jc w:val="center"/>
              <w:rPr>
                <w:rFonts w:ascii="Arial" w:hAnsi="Arial" w:cs="Arial"/>
                <w:b/>
                <w:sz w:val="18"/>
                <w:szCs w:val="18"/>
              </w:rPr>
            </w:pPr>
            <w:r w:rsidRPr="009E124F">
              <w:rPr>
                <w:rFonts w:ascii="Arial" w:hAnsi="Arial" w:cs="Arial"/>
                <w:b/>
                <w:sz w:val="18"/>
                <w:szCs w:val="18"/>
              </w:rPr>
              <w:t>____________________________________</w:t>
            </w:r>
          </w:p>
        </w:tc>
      </w:tr>
      <w:tr w:rsidR="006C5CCC" w:rsidRPr="009E124F" w:rsidTr="00DF1032">
        <w:trPr>
          <w:gridAfter w:val="1"/>
          <w:wAfter w:w="37" w:type="dxa"/>
        </w:trPr>
        <w:tc>
          <w:tcPr>
            <w:tcW w:w="4362" w:type="dxa"/>
          </w:tcPr>
          <w:p w:rsidR="006C5CCC" w:rsidRDefault="006C5CCC" w:rsidP="006C5CCC">
            <w:pPr>
              <w:pStyle w:val="Sangradetextonormal"/>
              <w:ind w:left="0"/>
              <w:rPr>
                <w:rFonts w:ascii="Arial" w:hAnsi="Arial" w:cs="Arial"/>
                <w:b/>
                <w:sz w:val="18"/>
                <w:szCs w:val="18"/>
                <w:lang w:val="es-ES"/>
              </w:rPr>
            </w:pPr>
          </w:p>
          <w:p w:rsidR="004F05A3" w:rsidRDefault="004F05A3" w:rsidP="004F05A3">
            <w:pPr>
              <w:pStyle w:val="Sangradetextonormal"/>
              <w:ind w:left="0"/>
              <w:rPr>
                <w:rFonts w:ascii="Arial" w:hAnsi="Arial" w:cs="Arial"/>
                <w:b/>
                <w:sz w:val="18"/>
                <w:szCs w:val="18"/>
                <w:lang w:val="es-ES"/>
              </w:rPr>
            </w:pPr>
            <w:r>
              <w:rPr>
                <w:rFonts w:ascii="Arial" w:hAnsi="Arial" w:cs="Arial"/>
                <w:b/>
                <w:sz w:val="18"/>
                <w:szCs w:val="18"/>
                <w:lang w:val="es-ES"/>
              </w:rPr>
              <w:t>C.P. Ilda Leticia González Serna</w:t>
            </w:r>
          </w:p>
          <w:p w:rsidR="006C5CCC" w:rsidRPr="00AB5AA7" w:rsidRDefault="004F05A3" w:rsidP="004F05A3">
            <w:pPr>
              <w:pStyle w:val="Sangradetextonormal"/>
              <w:ind w:left="0"/>
              <w:rPr>
                <w:rFonts w:ascii="Arial" w:hAnsi="Arial" w:cs="Arial"/>
                <w:sz w:val="18"/>
                <w:szCs w:val="18"/>
                <w:lang w:val="es-ES"/>
              </w:rPr>
            </w:pPr>
            <w:r w:rsidRPr="0080065B">
              <w:rPr>
                <w:rFonts w:ascii="Arial" w:hAnsi="Arial" w:cs="Arial"/>
                <w:sz w:val="18"/>
                <w:szCs w:val="18"/>
                <w:lang w:val="es-ES"/>
              </w:rPr>
              <w:t>Jefa del Departamento de Contabilidad de la D</w:t>
            </w:r>
            <w:r>
              <w:rPr>
                <w:rFonts w:ascii="Arial" w:hAnsi="Arial" w:cs="Arial"/>
                <w:sz w:val="18"/>
                <w:szCs w:val="18"/>
                <w:lang w:val="es-ES"/>
              </w:rPr>
              <w:t xml:space="preserve">irección </w:t>
            </w:r>
            <w:r w:rsidRPr="0080065B">
              <w:rPr>
                <w:rFonts w:ascii="Arial" w:hAnsi="Arial" w:cs="Arial"/>
                <w:sz w:val="18"/>
                <w:szCs w:val="18"/>
                <w:lang w:val="es-ES"/>
              </w:rPr>
              <w:t>G</w:t>
            </w:r>
            <w:r>
              <w:rPr>
                <w:rFonts w:ascii="Arial" w:hAnsi="Arial" w:cs="Arial"/>
                <w:sz w:val="18"/>
                <w:szCs w:val="18"/>
                <w:lang w:val="es-ES"/>
              </w:rPr>
              <w:t xml:space="preserve">eneral de </w:t>
            </w:r>
            <w:r w:rsidRPr="0080065B">
              <w:rPr>
                <w:rFonts w:ascii="Arial" w:hAnsi="Arial" w:cs="Arial"/>
                <w:sz w:val="18"/>
                <w:szCs w:val="18"/>
                <w:lang w:val="es-ES"/>
              </w:rPr>
              <w:t>F</w:t>
            </w:r>
            <w:r>
              <w:rPr>
                <w:rFonts w:ascii="Arial" w:hAnsi="Arial" w:cs="Arial"/>
                <w:sz w:val="18"/>
                <w:szCs w:val="18"/>
                <w:lang w:val="es-ES"/>
              </w:rPr>
              <w:t>inanzas</w:t>
            </w:r>
          </w:p>
          <w:p w:rsidR="006C5CCC" w:rsidRPr="00AB5AA7" w:rsidRDefault="006C5CCC" w:rsidP="006C5CCC">
            <w:pPr>
              <w:pStyle w:val="Sangradetextonormal"/>
              <w:ind w:left="0"/>
              <w:rPr>
                <w:rFonts w:ascii="Arial" w:hAnsi="Arial" w:cs="Arial"/>
                <w:sz w:val="18"/>
                <w:szCs w:val="18"/>
                <w:lang w:val="es-ES"/>
              </w:rPr>
            </w:pPr>
          </w:p>
        </w:tc>
        <w:tc>
          <w:tcPr>
            <w:tcW w:w="4466" w:type="dxa"/>
            <w:gridSpan w:val="2"/>
          </w:tcPr>
          <w:p w:rsidR="006C5CCC" w:rsidRPr="00AB5AA7" w:rsidRDefault="006C5CCC" w:rsidP="006C5CCC">
            <w:pPr>
              <w:pStyle w:val="Sangradetextonormal"/>
              <w:ind w:left="0"/>
              <w:jc w:val="center"/>
              <w:rPr>
                <w:rFonts w:ascii="Arial" w:hAnsi="Arial" w:cs="Arial"/>
                <w:b/>
                <w:sz w:val="18"/>
                <w:szCs w:val="18"/>
              </w:rPr>
            </w:pPr>
          </w:p>
          <w:p w:rsidR="006C5CCC" w:rsidRPr="00AB5AA7" w:rsidRDefault="006C5CCC" w:rsidP="006C5CCC">
            <w:pPr>
              <w:pStyle w:val="Sangradetextonormal"/>
              <w:ind w:left="0"/>
              <w:jc w:val="center"/>
              <w:rPr>
                <w:rFonts w:ascii="Arial" w:hAnsi="Arial" w:cs="Arial"/>
                <w:b/>
                <w:sz w:val="18"/>
                <w:szCs w:val="18"/>
              </w:rPr>
            </w:pPr>
          </w:p>
          <w:p w:rsidR="006C5CCC" w:rsidRPr="00AB5AA7" w:rsidRDefault="006C5CCC" w:rsidP="006C5CCC">
            <w:pPr>
              <w:pStyle w:val="Sangradetextonormal"/>
              <w:ind w:left="0"/>
              <w:jc w:val="center"/>
              <w:rPr>
                <w:rFonts w:ascii="Arial" w:hAnsi="Arial" w:cs="Arial"/>
                <w:b/>
                <w:sz w:val="18"/>
                <w:szCs w:val="18"/>
              </w:rPr>
            </w:pPr>
            <w:r w:rsidRPr="00AB5AA7">
              <w:rPr>
                <w:rFonts w:ascii="Arial" w:hAnsi="Arial" w:cs="Arial"/>
                <w:b/>
                <w:sz w:val="18"/>
                <w:szCs w:val="18"/>
              </w:rPr>
              <w:t>____________________________________</w:t>
            </w:r>
          </w:p>
        </w:tc>
      </w:tr>
      <w:tr w:rsidR="006C5CCC" w:rsidRPr="009E124F" w:rsidTr="00DF1032">
        <w:trPr>
          <w:gridAfter w:val="1"/>
          <w:wAfter w:w="37" w:type="dxa"/>
        </w:trPr>
        <w:tc>
          <w:tcPr>
            <w:tcW w:w="4362" w:type="dxa"/>
          </w:tcPr>
          <w:p w:rsidR="006C5CCC" w:rsidRDefault="006C5CCC" w:rsidP="006C5CCC">
            <w:pPr>
              <w:pStyle w:val="Sangradetextonormal"/>
              <w:ind w:left="0"/>
              <w:rPr>
                <w:rFonts w:ascii="Arial" w:hAnsi="Arial" w:cs="Arial"/>
                <w:b/>
                <w:sz w:val="18"/>
                <w:szCs w:val="18"/>
                <w:lang w:val="es-ES"/>
              </w:rPr>
            </w:pPr>
          </w:p>
          <w:p w:rsidR="004F05A3" w:rsidRPr="006B587E" w:rsidRDefault="004F05A3" w:rsidP="004F05A3">
            <w:pPr>
              <w:pStyle w:val="Sangradetextonormal"/>
              <w:ind w:left="0"/>
              <w:rPr>
                <w:rFonts w:ascii="Arial" w:hAnsi="Arial" w:cs="Arial"/>
                <w:b/>
                <w:sz w:val="18"/>
                <w:szCs w:val="18"/>
                <w:lang w:val="es-ES"/>
              </w:rPr>
            </w:pPr>
            <w:r w:rsidRPr="006B587E">
              <w:rPr>
                <w:rFonts w:ascii="Arial" w:hAnsi="Arial" w:cs="Arial"/>
                <w:b/>
                <w:sz w:val="18"/>
                <w:szCs w:val="18"/>
                <w:lang w:val="es-ES"/>
              </w:rPr>
              <w:t xml:space="preserve">Ing. Cesar Javier Guerrero González </w:t>
            </w:r>
          </w:p>
          <w:p w:rsidR="006C5CCC" w:rsidRPr="00AB5AA7" w:rsidRDefault="004F05A3" w:rsidP="004F05A3">
            <w:pPr>
              <w:pStyle w:val="Sangradetextonormal"/>
              <w:ind w:left="0"/>
              <w:rPr>
                <w:rFonts w:ascii="Arial" w:hAnsi="Arial" w:cs="Arial"/>
                <w:sz w:val="18"/>
                <w:szCs w:val="18"/>
                <w:lang w:val="es-ES"/>
              </w:rPr>
            </w:pPr>
            <w:r w:rsidRPr="006B587E">
              <w:rPr>
                <w:rFonts w:ascii="Arial" w:hAnsi="Arial" w:cs="Arial"/>
                <w:sz w:val="18"/>
                <w:szCs w:val="18"/>
                <w:lang w:val="es-ES"/>
              </w:rPr>
              <w:t>Representante de la Dirección General de Planeación y Desarrollo</w:t>
            </w:r>
          </w:p>
        </w:tc>
        <w:tc>
          <w:tcPr>
            <w:tcW w:w="4466" w:type="dxa"/>
            <w:gridSpan w:val="2"/>
          </w:tcPr>
          <w:p w:rsidR="006C5CCC" w:rsidRPr="00AB5AA7" w:rsidRDefault="006C5CCC" w:rsidP="006C5CCC">
            <w:pPr>
              <w:pStyle w:val="Sangradetextonormal"/>
              <w:ind w:left="0"/>
              <w:jc w:val="center"/>
              <w:rPr>
                <w:rFonts w:ascii="Arial" w:hAnsi="Arial" w:cs="Arial"/>
                <w:b/>
                <w:sz w:val="18"/>
                <w:szCs w:val="18"/>
              </w:rPr>
            </w:pPr>
          </w:p>
          <w:p w:rsidR="006C5CCC" w:rsidRPr="00AB5AA7" w:rsidRDefault="006C5CCC" w:rsidP="006C5CCC">
            <w:pPr>
              <w:pStyle w:val="Sangradetextonormal"/>
              <w:ind w:left="0"/>
              <w:jc w:val="center"/>
              <w:rPr>
                <w:rFonts w:ascii="Arial" w:hAnsi="Arial" w:cs="Arial"/>
                <w:b/>
                <w:sz w:val="18"/>
                <w:szCs w:val="18"/>
              </w:rPr>
            </w:pPr>
            <w:r w:rsidRPr="00AB5AA7">
              <w:rPr>
                <w:rFonts w:ascii="Arial" w:hAnsi="Arial" w:cs="Arial"/>
                <w:b/>
                <w:sz w:val="18"/>
                <w:szCs w:val="18"/>
              </w:rPr>
              <w:t>____________________________________</w:t>
            </w:r>
          </w:p>
        </w:tc>
      </w:tr>
      <w:tr w:rsidR="006C5CCC" w:rsidRPr="009E124F" w:rsidTr="00D52619">
        <w:trPr>
          <w:gridAfter w:val="1"/>
          <w:wAfter w:w="37" w:type="dxa"/>
        </w:trPr>
        <w:tc>
          <w:tcPr>
            <w:tcW w:w="4362" w:type="dxa"/>
          </w:tcPr>
          <w:p w:rsidR="006C5CCC" w:rsidRDefault="006C5CCC" w:rsidP="006C5CCC">
            <w:pPr>
              <w:pStyle w:val="Sangradetextonormal"/>
              <w:ind w:left="0"/>
              <w:rPr>
                <w:rFonts w:ascii="Arial" w:hAnsi="Arial" w:cs="Arial"/>
                <w:b/>
                <w:sz w:val="18"/>
                <w:szCs w:val="18"/>
                <w:lang w:val="es-ES"/>
              </w:rPr>
            </w:pPr>
          </w:p>
          <w:p w:rsidR="004F05A3" w:rsidRPr="00814788" w:rsidRDefault="004F05A3" w:rsidP="004F05A3">
            <w:pPr>
              <w:pStyle w:val="Sangradetextonormal"/>
              <w:ind w:left="0"/>
              <w:rPr>
                <w:rFonts w:ascii="Arial" w:hAnsi="Arial" w:cs="Arial"/>
                <w:b/>
                <w:sz w:val="18"/>
                <w:szCs w:val="18"/>
                <w:lang w:val="es-ES"/>
              </w:rPr>
            </w:pPr>
            <w:r w:rsidRPr="00814788">
              <w:rPr>
                <w:rFonts w:ascii="Arial" w:hAnsi="Arial" w:cs="Arial"/>
                <w:b/>
                <w:sz w:val="18"/>
                <w:szCs w:val="18"/>
                <w:lang w:val="es-ES"/>
              </w:rPr>
              <w:t xml:space="preserve">C.P. Virginia Guzmán Díaz de León    </w:t>
            </w:r>
          </w:p>
          <w:p w:rsidR="006C5CCC" w:rsidRPr="00E9257A" w:rsidRDefault="004F05A3" w:rsidP="004F05A3">
            <w:pPr>
              <w:pStyle w:val="Sangradetextonormal"/>
              <w:ind w:left="0"/>
              <w:rPr>
                <w:rFonts w:ascii="Arial" w:hAnsi="Arial" w:cs="Arial"/>
                <w:sz w:val="18"/>
                <w:szCs w:val="18"/>
                <w:lang w:val="es-ES"/>
              </w:rPr>
            </w:pPr>
            <w:r w:rsidRPr="00814788">
              <w:rPr>
                <w:rFonts w:ascii="Arial" w:hAnsi="Arial" w:cs="Arial"/>
                <w:sz w:val="18"/>
                <w:szCs w:val="18"/>
                <w:lang w:val="es-ES"/>
              </w:rPr>
              <w:t>Secretaria Administrativa del Centro de Ciencias Económicas y Administrativas</w:t>
            </w:r>
          </w:p>
        </w:tc>
        <w:tc>
          <w:tcPr>
            <w:tcW w:w="4466" w:type="dxa"/>
            <w:gridSpan w:val="2"/>
          </w:tcPr>
          <w:p w:rsidR="006C5CCC" w:rsidRDefault="006C5CCC" w:rsidP="006C5CCC">
            <w:pPr>
              <w:pStyle w:val="Sangradetextonormal"/>
              <w:ind w:left="0"/>
              <w:jc w:val="center"/>
              <w:rPr>
                <w:rFonts w:ascii="Arial" w:hAnsi="Arial" w:cs="Arial"/>
                <w:b/>
                <w:sz w:val="18"/>
                <w:szCs w:val="18"/>
              </w:rPr>
            </w:pPr>
          </w:p>
          <w:p w:rsidR="006C5CCC" w:rsidRDefault="006C5CCC" w:rsidP="006C5CCC">
            <w:pPr>
              <w:pStyle w:val="Sangradetextonormal"/>
              <w:ind w:left="0"/>
              <w:jc w:val="center"/>
              <w:rPr>
                <w:rFonts w:ascii="Arial" w:hAnsi="Arial" w:cs="Arial"/>
                <w:b/>
                <w:sz w:val="18"/>
                <w:szCs w:val="18"/>
              </w:rPr>
            </w:pPr>
          </w:p>
          <w:p w:rsidR="006C5CCC" w:rsidRPr="00AB5AA7" w:rsidRDefault="006C5CCC" w:rsidP="006C5CCC">
            <w:pPr>
              <w:pStyle w:val="Sangradetextonormal"/>
              <w:ind w:left="0"/>
              <w:jc w:val="center"/>
              <w:rPr>
                <w:rFonts w:ascii="Arial" w:hAnsi="Arial" w:cs="Arial"/>
                <w:b/>
                <w:sz w:val="18"/>
                <w:szCs w:val="18"/>
              </w:rPr>
            </w:pPr>
            <w:r w:rsidRPr="00AB5AA7">
              <w:rPr>
                <w:rFonts w:ascii="Arial" w:hAnsi="Arial" w:cs="Arial"/>
                <w:b/>
                <w:sz w:val="18"/>
                <w:szCs w:val="18"/>
              </w:rPr>
              <w:t>____________________________________</w:t>
            </w:r>
          </w:p>
        </w:tc>
      </w:tr>
      <w:tr w:rsidR="00775B36" w:rsidRPr="009E124F" w:rsidTr="00D52619">
        <w:trPr>
          <w:gridAfter w:val="1"/>
          <w:wAfter w:w="37" w:type="dxa"/>
        </w:trPr>
        <w:tc>
          <w:tcPr>
            <w:tcW w:w="4362" w:type="dxa"/>
          </w:tcPr>
          <w:p w:rsidR="00775B36" w:rsidRDefault="00775B36" w:rsidP="00775B36">
            <w:pPr>
              <w:pStyle w:val="Sangradetextonormal"/>
              <w:ind w:left="0"/>
              <w:rPr>
                <w:rFonts w:ascii="Arial" w:hAnsi="Arial" w:cs="Arial"/>
                <w:b/>
                <w:sz w:val="18"/>
                <w:szCs w:val="18"/>
                <w:lang w:val="es-ES"/>
              </w:rPr>
            </w:pPr>
          </w:p>
          <w:p w:rsidR="00775B36" w:rsidRPr="00814788" w:rsidRDefault="00775B36" w:rsidP="00775B36">
            <w:pPr>
              <w:pStyle w:val="Sangradetextonormal"/>
              <w:ind w:left="0"/>
              <w:rPr>
                <w:rFonts w:ascii="Arial" w:hAnsi="Arial" w:cs="Arial"/>
                <w:b/>
                <w:sz w:val="18"/>
                <w:szCs w:val="18"/>
                <w:lang w:val="es-ES"/>
              </w:rPr>
            </w:pPr>
            <w:r w:rsidRPr="00814788">
              <w:rPr>
                <w:rFonts w:ascii="Arial" w:hAnsi="Arial" w:cs="Arial"/>
                <w:b/>
                <w:sz w:val="18"/>
                <w:szCs w:val="18"/>
                <w:lang w:val="es-ES"/>
              </w:rPr>
              <w:t xml:space="preserve">C.P. </w:t>
            </w:r>
            <w:r>
              <w:rPr>
                <w:rFonts w:ascii="Arial" w:hAnsi="Arial" w:cs="Arial"/>
                <w:b/>
                <w:sz w:val="18"/>
                <w:szCs w:val="18"/>
                <w:lang w:val="es-ES"/>
              </w:rPr>
              <w:t>Angélica Lozano Galaviz</w:t>
            </w:r>
            <w:r w:rsidRPr="00814788">
              <w:rPr>
                <w:rFonts w:ascii="Arial" w:hAnsi="Arial" w:cs="Arial"/>
                <w:b/>
                <w:sz w:val="18"/>
                <w:szCs w:val="18"/>
                <w:lang w:val="es-ES"/>
              </w:rPr>
              <w:t xml:space="preserve">    </w:t>
            </w:r>
          </w:p>
          <w:p w:rsidR="00775B36" w:rsidRPr="00E9257A" w:rsidRDefault="00775B36" w:rsidP="00775B36">
            <w:pPr>
              <w:pStyle w:val="Sangradetextonormal"/>
              <w:ind w:left="0"/>
              <w:rPr>
                <w:rFonts w:ascii="Arial" w:hAnsi="Arial" w:cs="Arial"/>
                <w:sz w:val="18"/>
                <w:szCs w:val="18"/>
                <w:lang w:val="es-ES"/>
              </w:rPr>
            </w:pPr>
            <w:r>
              <w:rPr>
                <w:rFonts w:ascii="Arial" w:hAnsi="Arial" w:cs="Arial"/>
                <w:sz w:val="18"/>
                <w:szCs w:val="18"/>
                <w:lang w:val="es-ES"/>
              </w:rPr>
              <w:t>Departamento de Compras</w:t>
            </w:r>
            <w:bookmarkStart w:id="0" w:name="_GoBack"/>
            <w:bookmarkEnd w:id="0"/>
          </w:p>
        </w:tc>
        <w:tc>
          <w:tcPr>
            <w:tcW w:w="4466" w:type="dxa"/>
            <w:gridSpan w:val="2"/>
          </w:tcPr>
          <w:p w:rsidR="00775B36" w:rsidRDefault="00775B36" w:rsidP="00775B36">
            <w:pPr>
              <w:pStyle w:val="Sangradetextonormal"/>
              <w:ind w:left="0"/>
              <w:jc w:val="center"/>
              <w:rPr>
                <w:rFonts w:ascii="Arial" w:hAnsi="Arial" w:cs="Arial"/>
                <w:b/>
                <w:sz w:val="18"/>
                <w:szCs w:val="18"/>
              </w:rPr>
            </w:pPr>
          </w:p>
          <w:p w:rsidR="00775B36" w:rsidRDefault="00775B36" w:rsidP="00775B36">
            <w:pPr>
              <w:pStyle w:val="Sangradetextonormal"/>
              <w:ind w:left="0"/>
              <w:jc w:val="center"/>
              <w:rPr>
                <w:rFonts w:ascii="Arial" w:hAnsi="Arial" w:cs="Arial"/>
                <w:b/>
                <w:sz w:val="18"/>
                <w:szCs w:val="18"/>
              </w:rPr>
            </w:pPr>
          </w:p>
          <w:p w:rsidR="00775B36" w:rsidRPr="00AB5AA7" w:rsidRDefault="00775B36" w:rsidP="00775B36">
            <w:pPr>
              <w:pStyle w:val="Sangradetextonormal"/>
              <w:ind w:left="0"/>
              <w:jc w:val="center"/>
              <w:rPr>
                <w:rFonts w:ascii="Arial" w:hAnsi="Arial" w:cs="Arial"/>
                <w:b/>
                <w:sz w:val="18"/>
                <w:szCs w:val="18"/>
              </w:rPr>
            </w:pPr>
            <w:r w:rsidRPr="00AB5AA7">
              <w:rPr>
                <w:rFonts w:ascii="Arial" w:hAnsi="Arial" w:cs="Arial"/>
                <w:b/>
                <w:sz w:val="18"/>
                <w:szCs w:val="18"/>
              </w:rPr>
              <w:t>____________________________________</w:t>
            </w:r>
          </w:p>
        </w:tc>
      </w:tr>
    </w:tbl>
    <w:p w:rsidR="001E0896" w:rsidRDefault="009B34E2">
      <w:pPr>
        <w:jc w:val="both"/>
        <w:rPr>
          <w:rFonts w:ascii="Arial" w:hAnsi="Arial" w:cs="Arial"/>
          <w:color w:val="000000"/>
          <w:sz w:val="16"/>
          <w:szCs w:val="16"/>
        </w:rPr>
      </w:pPr>
      <w:r>
        <w:rPr>
          <w:rFonts w:ascii="Arial" w:hAnsi="Arial" w:cs="Arial"/>
          <w:color w:val="000000"/>
          <w:sz w:val="16"/>
          <w:szCs w:val="16"/>
        </w:rPr>
        <w:t>-----------------------------------------------------------------------------------------------------------------------------------------------------------------</w:t>
      </w:r>
      <w:r w:rsidR="001E0896" w:rsidRPr="001E0896">
        <w:rPr>
          <w:rFonts w:ascii="Arial" w:hAnsi="Arial" w:cs="Arial"/>
          <w:color w:val="000000"/>
          <w:sz w:val="16"/>
          <w:szCs w:val="16"/>
        </w:rPr>
        <w:t xml:space="preserve">Siendo las </w:t>
      </w:r>
      <w:r w:rsidR="001E0896" w:rsidRPr="00E34B0D">
        <w:rPr>
          <w:rFonts w:ascii="Arial" w:hAnsi="Arial" w:cs="Arial"/>
          <w:b/>
          <w:color w:val="000000"/>
          <w:sz w:val="16"/>
          <w:szCs w:val="16"/>
        </w:rPr>
        <w:t>1</w:t>
      </w:r>
      <w:r w:rsidR="0015305A">
        <w:rPr>
          <w:rFonts w:ascii="Arial" w:hAnsi="Arial" w:cs="Arial"/>
          <w:b/>
          <w:color w:val="000000"/>
          <w:sz w:val="16"/>
          <w:szCs w:val="16"/>
        </w:rPr>
        <w:t>4</w:t>
      </w:r>
      <w:r w:rsidR="001E0896" w:rsidRPr="00E34B0D">
        <w:rPr>
          <w:rFonts w:ascii="Arial" w:hAnsi="Arial" w:cs="Arial"/>
          <w:b/>
          <w:color w:val="000000"/>
          <w:sz w:val="16"/>
          <w:szCs w:val="16"/>
        </w:rPr>
        <w:t>:</w:t>
      </w:r>
      <w:r w:rsidR="003D7034">
        <w:rPr>
          <w:rFonts w:ascii="Arial" w:hAnsi="Arial" w:cs="Arial"/>
          <w:b/>
          <w:color w:val="000000"/>
          <w:sz w:val="16"/>
          <w:szCs w:val="16"/>
        </w:rPr>
        <w:t>35</w:t>
      </w:r>
      <w:r w:rsidR="00023887">
        <w:rPr>
          <w:rFonts w:ascii="Arial" w:hAnsi="Arial" w:cs="Arial"/>
          <w:color w:val="000000"/>
          <w:sz w:val="16"/>
          <w:szCs w:val="16"/>
        </w:rPr>
        <w:t xml:space="preserve"> </w:t>
      </w:r>
      <w:r w:rsidR="001E0896" w:rsidRPr="001E0896">
        <w:rPr>
          <w:rFonts w:ascii="Arial" w:hAnsi="Arial" w:cs="Arial"/>
          <w:color w:val="000000"/>
          <w:sz w:val="16"/>
          <w:szCs w:val="16"/>
        </w:rPr>
        <w:t>horas del día de su inicio, se da por concluida la presente junta firmando el acta los que en ella intervienen para los fines y efectos legales a que haya lugar, entregándose fotocopia del acta a los participantes</w:t>
      </w:r>
    </w:p>
    <w:p w:rsidR="00597802" w:rsidRPr="00FB65E7" w:rsidRDefault="00A5722A" w:rsidP="00E34B0D">
      <w:pPr>
        <w:jc w:val="center"/>
        <w:rPr>
          <w:rFonts w:ascii="Arial" w:hAnsi="Arial" w:cs="Arial"/>
          <w:sz w:val="16"/>
          <w:szCs w:val="16"/>
        </w:rPr>
      </w:pPr>
      <w:r w:rsidRPr="00FB65E7">
        <w:rPr>
          <w:rFonts w:ascii="Arial" w:hAnsi="Arial" w:cs="Arial"/>
          <w:sz w:val="16"/>
          <w:szCs w:val="16"/>
        </w:rPr>
        <w:t>======================================FIN DE TEXTO==================================</w:t>
      </w:r>
    </w:p>
    <w:sectPr w:rsidR="00597802" w:rsidRPr="00FB65E7" w:rsidSect="009A2B44">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4C" w:rsidRDefault="00861A4C" w:rsidP="004F08CF">
      <w:r>
        <w:separator/>
      </w:r>
    </w:p>
  </w:endnote>
  <w:endnote w:type="continuationSeparator" w:id="0">
    <w:p w:rsidR="00861A4C" w:rsidRDefault="00861A4C"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56" w:rsidRDefault="00F14B56" w:rsidP="001E0896">
    <w:pPr>
      <w:pStyle w:val="Piedepgina"/>
      <w:jc w:val="center"/>
      <w:rPr>
        <w:rFonts w:ascii="Tahoma" w:hAnsi="Tahoma" w:cs="Tahoma"/>
        <w:snapToGrid w:val="0"/>
        <w:sz w:val="12"/>
        <w:szCs w:val="12"/>
      </w:rPr>
    </w:pPr>
    <w:r>
      <w:rPr>
        <w:rFonts w:ascii="Tahoma" w:hAnsi="Tahoma" w:cs="Tahoma"/>
        <w:snapToGrid w:val="0"/>
        <w:sz w:val="12"/>
        <w:szCs w:val="12"/>
      </w:rPr>
      <w:t>Acta N</w:t>
    </w:r>
    <w:r w:rsidR="006C4B6B">
      <w:rPr>
        <w:rFonts w:ascii="Tahoma" w:hAnsi="Tahoma" w:cs="Tahoma"/>
        <w:snapToGrid w:val="0"/>
        <w:sz w:val="12"/>
        <w:szCs w:val="12"/>
      </w:rPr>
      <w:t xml:space="preserve">otificación de fallo de la </w:t>
    </w:r>
    <w:r w:rsidR="00704743">
      <w:rPr>
        <w:rFonts w:ascii="Tahoma" w:hAnsi="Tahoma" w:cs="Tahoma"/>
        <w:snapToGrid w:val="0"/>
        <w:sz w:val="12"/>
        <w:szCs w:val="12"/>
      </w:rPr>
      <w:t>I.T.P</w:t>
    </w:r>
    <w:r>
      <w:rPr>
        <w:rFonts w:ascii="Tahoma" w:hAnsi="Tahoma" w:cs="Tahoma"/>
        <w:snapToGrid w:val="0"/>
        <w:sz w:val="12"/>
        <w:szCs w:val="12"/>
      </w:rPr>
      <w:t xml:space="preserve">.  </w:t>
    </w:r>
    <w:r w:rsidR="00C3160D">
      <w:rPr>
        <w:rFonts w:ascii="Tahoma" w:hAnsi="Tahoma" w:cs="Tahoma"/>
        <w:snapToGrid w:val="0"/>
        <w:sz w:val="12"/>
        <w:szCs w:val="12"/>
      </w:rPr>
      <w:t>E/</w:t>
    </w:r>
    <w:r w:rsidR="00500C7B">
      <w:rPr>
        <w:rFonts w:ascii="Tahoma" w:hAnsi="Tahoma" w:cs="Tahoma"/>
        <w:snapToGrid w:val="0"/>
        <w:sz w:val="12"/>
        <w:szCs w:val="12"/>
      </w:rPr>
      <w:t>901045968</w:t>
    </w:r>
    <w:r w:rsidR="00B02D6E">
      <w:rPr>
        <w:rFonts w:ascii="Tahoma" w:hAnsi="Tahoma" w:cs="Tahoma"/>
        <w:snapToGrid w:val="0"/>
        <w:sz w:val="12"/>
        <w:szCs w:val="12"/>
      </w:rPr>
      <w:t>-0</w:t>
    </w:r>
    <w:r w:rsidR="00423A86">
      <w:rPr>
        <w:rFonts w:ascii="Tahoma" w:hAnsi="Tahoma" w:cs="Tahoma"/>
        <w:snapToGrid w:val="0"/>
        <w:sz w:val="12"/>
        <w:szCs w:val="12"/>
      </w:rPr>
      <w:t>0</w:t>
    </w:r>
    <w:r w:rsidR="0015305A">
      <w:rPr>
        <w:rFonts w:ascii="Tahoma" w:hAnsi="Tahoma" w:cs="Tahoma"/>
        <w:snapToGrid w:val="0"/>
        <w:sz w:val="12"/>
        <w:szCs w:val="12"/>
      </w:rPr>
      <w:t>3</w:t>
    </w:r>
    <w:r w:rsidR="00423A86">
      <w:rPr>
        <w:rFonts w:ascii="Tahoma" w:hAnsi="Tahoma" w:cs="Tahoma"/>
        <w:snapToGrid w:val="0"/>
        <w:sz w:val="12"/>
        <w:szCs w:val="12"/>
      </w:rPr>
      <w:t>-1</w:t>
    </w:r>
    <w:r w:rsidR="00500C7B">
      <w:rPr>
        <w:rFonts w:ascii="Tahoma" w:hAnsi="Tahoma" w:cs="Tahoma"/>
        <w:snapToGrid w:val="0"/>
        <w:sz w:val="12"/>
        <w:szCs w:val="12"/>
      </w:rPr>
      <w:t>8</w:t>
    </w:r>
  </w:p>
  <w:p w:rsidR="00F14B56" w:rsidRPr="00061792" w:rsidRDefault="00F14B56" w:rsidP="001E0896">
    <w:pPr>
      <w:pStyle w:val="Piedepgina"/>
      <w:jc w:val="center"/>
      <w:rPr>
        <w:rFonts w:ascii="Tahoma" w:hAnsi="Tahoma" w:cs="Tahoma"/>
        <w:sz w:val="12"/>
        <w:szCs w:val="12"/>
      </w:rPr>
    </w:pPr>
    <w:r w:rsidRPr="00061792">
      <w:rPr>
        <w:rFonts w:ascii="Tahoma" w:hAnsi="Tahoma" w:cs="Tahoma"/>
        <w:snapToGrid w:val="0"/>
        <w:sz w:val="12"/>
        <w:szCs w:val="12"/>
      </w:rPr>
      <w:t xml:space="preserve">Página </w:t>
    </w:r>
    <w:r w:rsidR="004F20AF"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PAGE </w:instrText>
    </w:r>
    <w:r w:rsidR="004F20AF" w:rsidRPr="00061792">
      <w:rPr>
        <w:rFonts w:ascii="Tahoma" w:hAnsi="Tahoma" w:cs="Tahoma"/>
        <w:snapToGrid w:val="0"/>
        <w:sz w:val="12"/>
        <w:szCs w:val="12"/>
      </w:rPr>
      <w:fldChar w:fldCharType="separate"/>
    </w:r>
    <w:r w:rsidR="00D733A5">
      <w:rPr>
        <w:rFonts w:ascii="Tahoma" w:hAnsi="Tahoma" w:cs="Tahoma"/>
        <w:noProof/>
        <w:snapToGrid w:val="0"/>
        <w:sz w:val="12"/>
        <w:szCs w:val="12"/>
      </w:rPr>
      <w:t>5</w:t>
    </w:r>
    <w:r w:rsidR="004F20AF" w:rsidRPr="00061792">
      <w:rPr>
        <w:rFonts w:ascii="Tahoma" w:hAnsi="Tahoma" w:cs="Tahoma"/>
        <w:snapToGrid w:val="0"/>
        <w:sz w:val="12"/>
        <w:szCs w:val="12"/>
      </w:rPr>
      <w:fldChar w:fldCharType="end"/>
    </w:r>
    <w:r w:rsidRPr="00061792">
      <w:rPr>
        <w:rFonts w:ascii="Tahoma" w:hAnsi="Tahoma" w:cs="Tahoma"/>
        <w:snapToGrid w:val="0"/>
        <w:sz w:val="12"/>
        <w:szCs w:val="12"/>
      </w:rPr>
      <w:t xml:space="preserve"> de </w:t>
    </w:r>
    <w:r w:rsidR="004F20AF" w:rsidRPr="00061792">
      <w:rPr>
        <w:rFonts w:ascii="Tahoma" w:hAnsi="Tahoma" w:cs="Tahoma"/>
        <w:snapToGrid w:val="0"/>
        <w:sz w:val="12"/>
        <w:szCs w:val="12"/>
      </w:rPr>
      <w:fldChar w:fldCharType="begin"/>
    </w:r>
    <w:r w:rsidRPr="00061792">
      <w:rPr>
        <w:rFonts w:ascii="Tahoma" w:hAnsi="Tahoma" w:cs="Tahoma"/>
        <w:snapToGrid w:val="0"/>
        <w:sz w:val="12"/>
        <w:szCs w:val="12"/>
      </w:rPr>
      <w:instrText xml:space="preserve"> NUMPAGES </w:instrText>
    </w:r>
    <w:r w:rsidR="004F20AF" w:rsidRPr="00061792">
      <w:rPr>
        <w:rFonts w:ascii="Tahoma" w:hAnsi="Tahoma" w:cs="Tahoma"/>
        <w:snapToGrid w:val="0"/>
        <w:sz w:val="12"/>
        <w:szCs w:val="12"/>
      </w:rPr>
      <w:fldChar w:fldCharType="separate"/>
    </w:r>
    <w:r w:rsidR="00D733A5">
      <w:rPr>
        <w:rFonts w:ascii="Tahoma" w:hAnsi="Tahoma" w:cs="Tahoma"/>
        <w:noProof/>
        <w:snapToGrid w:val="0"/>
        <w:sz w:val="12"/>
        <w:szCs w:val="12"/>
      </w:rPr>
      <w:t>5</w:t>
    </w:r>
    <w:r w:rsidR="004F20AF" w:rsidRPr="00061792">
      <w:rPr>
        <w:rFonts w:ascii="Tahoma" w:hAnsi="Tahoma" w:cs="Tahoma"/>
        <w:snapToGrid w:val="0"/>
        <w:sz w:val="12"/>
        <w:szCs w:val="12"/>
      </w:rPr>
      <w:fldChar w:fldCharType="end"/>
    </w:r>
  </w:p>
  <w:p w:rsidR="00F14B56" w:rsidRDefault="00F14B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4C" w:rsidRDefault="00861A4C" w:rsidP="004F08CF">
      <w:r>
        <w:separator/>
      </w:r>
    </w:p>
  </w:footnote>
  <w:footnote w:type="continuationSeparator" w:id="0">
    <w:p w:rsidR="00861A4C" w:rsidRDefault="00861A4C" w:rsidP="004F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56" w:rsidRDefault="00F14B56" w:rsidP="00985359">
    <w:pPr>
      <w:ind w:left="-426"/>
      <w:jc w:val="center"/>
      <w:rPr>
        <w:rFonts w:ascii="Arial" w:hAnsi="Arial" w:cs="Arial"/>
        <w:b/>
        <w:color w:val="000000"/>
        <w:sz w:val="18"/>
        <w:szCs w:val="18"/>
      </w:rPr>
    </w:pPr>
  </w:p>
  <w:p w:rsidR="00F14B56" w:rsidRPr="00400A61" w:rsidRDefault="00F14B56" w:rsidP="00985359">
    <w:pPr>
      <w:ind w:left="-426"/>
      <w:jc w:val="center"/>
      <w:rPr>
        <w:rFonts w:ascii="Arial" w:hAnsi="Arial" w:cs="Arial"/>
        <w:b/>
        <w:color w:val="000000"/>
        <w:sz w:val="18"/>
        <w:szCs w:val="18"/>
      </w:rPr>
    </w:pPr>
  </w:p>
  <w:tbl>
    <w:tblPr>
      <w:tblW w:w="0" w:type="auto"/>
      <w:tblInd w:w="37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4"/>
    </w:tblGrid>
    <w:tr w:rsidR="00F14B56" w:rsidRPr="00C50790" w:rsidTr="006C5CCC">
      <w:tc>
        <w:tcPr>
          <w:tcW w:w="5034" w:type="dxa"/>
          <w:shd w:val="clear" w:color="auto" w:fill="auto"/>
        </w:tcPr>
        <w:p w:rsidR="00F14B56" w:rsidRPr="00625FF9" w:rsidRDefault="00F14B56" w:rsidP="009F03E4">
          <w:pPr>
            <w:jc w:val="center"/>
            <w:rPr>
              <w:rFonts w:ascii="Arial" w:hAnsi="Arial" w:cs="Arial"/>
              <w:b/>
              <w:sz w:val="22"/>
              <w:szCs w:val="22"/>
            </w:rPr>
          </w:pPr>
          <w:r w:rsidRPr="00625FF9">
            <w:rPr>
              <w:rFonts w:ascii="Arial" w:hAnsi="Arial" w:cs="Arial"/>
              <w:b/>
              <w:sz w:val="22"/>
              <w:szCs w:val="22"/>
            </w:rPr>
            <w:t>UNIVERSIDAD AUTÓNOMA DE AGUASCALIENTES</w:t>
          </w:r>
        </w:p>
      </w:tc>
    </w:tr>
    <w:tr w:rsidR="00F14B56" w:rsidRPr="00C50790" w:rsidTr="006C5CCC">
      <w:tc>
        <w:tcPr>
          <w:tcW w:w="5034" w:type="dxa"/>
          <w:shd w:val="clear" w:color="auto" w:fill="auto"/>
        </w:tcPr>
        <w:p w:rsidR="00F14B56" w:rsidRPr="00625FF9" w:rsidRDefault="00F14B56" w:rsidP="00940207">
          <w:pPr>
            <w:jc w:val="center"/>
            <w:rPr>
              <w:rFonts w:ascii="Arial" w:hAnsi="Arial" w:cs="Arial"/>
              <w:b/>
            </w:rPr>
          </w:pPr>
          <w:r w:rsidRPr="00625FF9">
            <w:rPr>
              <w:rFonts w:ascii="Arial" w:hAnsi="Arial" w:cs="Arial"/>
              <w:b/>
            </w:rPr>
            <w:t>DIRECCIÓN GENERAL DE FINANZAS</w:t>
          </w:r>
        </w:p>
      </w:tc>
    </w:tr>
    <w:tr w:rsidR="00F14B56" w:rsidRPr="00C50790" w:rsidTr="006C5CCC">
      <w:tc>
        <w:tcPr>
          <w:tcW w:w="5034" w:type="dxa"/>
          <w:shd w:val="clear" w:color="auto" w:fill="auto"/>
        </w:tcPr>
        <w:p w:rsidR="00F14B56" w:rsidRPr="002A14B6" w:rsidRDefault="00F14B56" w:rsidP="009F03E4">
          <w:pPr>
            <w:jc w:val="both"/>
            <w:rPr>
              <w:rFonts w:ascii="Arial" w:hAnsi="Arial" w:cs="Arial"/>
              <w:b/>
              <w:sz w:val="18"/>
              <w:szCs w:val="16"/>
            </w:rPr>
          </w:pPr>
          <w:r w:rsidRPr="002A14B6">
            <w:rPr>
              <w:rFonts w:ascii="Arial" w:hAnsi="Arial" w:cs="Arial"/>
              <w:b/>
              <w:sz w:val="18"/>
              <w:szCs w:val="16"/>
            </w:rPr>
            <w:t xml:space="preserve">ACTA NOTIFICACIÓN DE FALLO </w:t>
          </w:r>
        </w:p>
      </w:tc>
    </w:tr>
    <w:tr w:rsidR="00423A86" w:rsidRPr="00C50790" w:rsidTr="006C5CCC">
      <w:tc>
        <w:tcPr>
          <w:tcW w:w="5034" w:type="dxa"/>
          <w:shd w:val="clear" w:color="auto" w:fill="auto"/>
        </w:tcPr>
        <w:p w:rsidR="00423A86" w:rsidRPr="00BF512E" w:rsidRDefault="00423A86" w:rsidP="00423A86">
          <w:pPr>
            <w:jc w:val="both"/>
            <w:rPr>
              <w:rFonts w:ascii="Arial" w:hAnsi="Arial" w:cs="Arial"/>
              <w:b/>
              <w:sz w:val="18"/>
              <w:szCs w:val="18"/>
            </w:rPr>
          </w:pPr>
          <w:r>
            <w:rPr>
              <w:rFonts w:ascii="Arial" w:hAnsi="Arial" w:cs="Arial"/>
              <w:b/>
              <w:sz w:val="18"/>
              <w:szCs w:val="18"/>
            </w:rPr>
            <w:t>INVITACIÓN A CUANDO MENOS TRES PERSONAS</w:t>
          </w:r>
          <w:r w:rsidRPr="00BF512E">
            <w:rPr>
              <w:rFonts w:ascii="Arial" w:hAnsi="Arial" w:cs="Arial"/>
              <w:b/>
              <w:sz w:val="18"/>
              <w:szCs w:val="18"/>
            </w:rPr>
            <w:t>, ELECTRÓNICA</w:t>
          </w:r>
        </w:p>
      </w:tc>
    </w:tr>
    <w:tr w:rsidR="006C5CCC" w:rsidRPr="00C50790" w:rsidTr="006C5CCC">
      <w:tc>
        <w:tcPr>
          <w:tcW w:w="5034" w:type="dxa"/>
          <w:shd w:val="clear" w:color="auto" w:fill="auto"/>
        </w:tcPr>
        <w:p w:rsidR="006C5CCC" w:rsidRPr="00034608" w:rsidRDefault="00333463" w:rsidP="00500C7B">
          <w:pPr>
            <w:jc w:val="both"/>
            <w:rPr>
              <w:rFonts w:ascii="Arial" w:hAnsi="Arial" w:cs="Arial"/>
              <w:b/>
              <w:sz w:val="18"/>
              <w:szCs w:val="18"/>
            </w:rPr>
          </w:pPr>
          <w:r>
            <w:rPr>
              <w:rFonts w:ascii="Arial" w:hAnsi="Arial" w:cs="Arial"/>
              <w:b/>
              <w:sz w:val="18"/>
              <w:szCs w:val="18"/>
            </w:rPr>
            <w:t>NÚMERO E/</w:t>
          </w:r>
          <w:r w:rsidR="00500C7B">
            <w:rPr>
              <w:rFonts w:ascii="Arial" w:hAnsi="Arial" w:cs="Arial"/>
              <w:b/>
              <w:sz w:val="18"/>
              <w:szCs w:val="18"/>
            </w:rPr>
            <w:t>901045968</w:t>
          </w:r>
          <w:r>
            <w:rPr>
              <w:rFonts w:ascii="Arial" w:hAnsi="Arial" w:cs="Arial"/>
              <w:b/>
              <w:sz w:val="18"/>
              <w:szCs w:val="18"/>
            </w:rPr>
            <w:t>-003</w:t>
          </w:r>
          <w:r w:rsidR="006C5CCC">
            <w:rPr>
              <w:rFonts w:ascii="Arial" w:hAnsi="Arial" w:cs="Arial"/>
              <w:b/>
              <w:sz w:val="18"/>
              <w:szCs w:val="18"/>
            </w:rPr>
            <w:t>-1</w:t>
          </w:r>
          <w:r w:rsidR="00500C7B">
            <w:rPr>
              <w:rFonts w:ascii="Arial" w:hAnsi="Arial" w:cs="Arial"/>
              <w:b/>
              <w:sz w:val="18"/>
              <w:szCs w:val="18"/>
            </w:rPr>
            <w:t>8</w:t>
          </w:r>
        </w:p>
      </w:tc>
    </w:tr>
    <w:tr w:rsidR="006C5CCC" w:rsidRPr="00C50790" w:rsidTr="006C5CCC">
      <w:tc>
        <w:tcPr>
          <w:tcW w:w="5034" w:type="dxa"/>
          <w:shd w:val="clear" w:color="auto" w:fill="auto"/>
        </w:tcPr>
        <w:p w:rsidR="006C5CCC" w:rsidRPr="00034608" w:rsidRDefault="006C5CCC" w:rsidP="00500C7B">
          <w:pPr>
            <w:jc w:val="both"/>
            <w:rPr>
              <w:rFonts w:ascii="Arial" w:hAnsi="Arial" w:cs="Arial"/>
              <w:b/>
              <w:sz w:val="18"/>
              <w:szCs w:val="18"/>
            </w:rPr>
          </w:pPr>
          <w:r w:rsidRPr="002B07EB">
            <w:rPr>
              <w:rFonts w:ascii="Arial" w:hAnsi="Arial" w:cs="Arial"/>
              <w:b/>
              <w:sz w:val="18"/>
              <w:szCs w:val="18"/>
            </w:rPr>
            <w:t xml:space="preserve">ADQUISICIÓN DE </w:t>
          </w:r>
          <w:r w:rsidR="00500C7B">
            <w:rPr>
              <w:rFonts w:ascii="Arial" w:hAnsi="Arial" w:cs="Arial"/>
              <w:b/>
              <w:sz w:val="18"/>
              <w:szCs w:val="18"/>
            </w:rPr>
            <w:t>EQUIPO DE COMPUTO</w:t>
          </w:r>
        </w:p>
      </w:tc>
    </w:tr>
  </w:tbl>
  <w:p w:rsidR="00F14B56" w:rsidRDefault="00F14B56"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46AC"/>
    <w:multiLevelType w:val="hybridMultilevel"/>
    <w:tmpl w:val="B364B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14A6A6A"/>
    <w:multiLevelType w:val="hybridMultilevel"/>
    <w:tmpl w:val="2C0C38EE"/>
    <w:lvl w:ilvl="0" w:tplc="80DCF2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8157ED1"/>
    <w:multiLevelType w:val="hybridMultilevel"/>
    <w:tmpl w:val="8F762014"/>
    <w:lvl w:ilvl="0" w:tplc="47ACE2D4">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22BF1"/>
    <w:rsid w:val="00023887"/>
    <w:rsid w:val="0002431A"/>
    <w:rsid w:val="00041425"/>
    <w:rsid w:val="00053354"/>
    <w:rsid w:val="00056ADC"/>
    <w:rsid w:val="00060164"/>
    <w:rsid w:val="000662A8"/>
    <w:rsid w:val="0007138E"/>
    <w:rsid w:val="0007475B"/>
    <w:rsid w:val="00075E63"/>
    <w:rsid w:val="00082239"/>
    <w:rsid w:val="000976D3"/>
    <w:rsid w:val="000A180B"/>
    <w:rsid w:val="000B0A1B"/>
    <w:rsid w:val="000B3332"/>
    <w:rsid w:val="000B3D0D"/>
    <w:rsid w:val="000C3B40"/>
    <w:rsid w:val="000E00C7"/>
    <w:rsid w:val="000E06E0"/>
    <w:rsid w:val="000E1CA3"/>
    <w:rsid w:val="00101F02"/>
    <w:rsid w:val="001075A7"/>
    <w:rsid w:val="0013561B"/>
    <w:rsid w:val="001365CD"/>
    <w:rsid w:val="00143D45"/>
    <w:rsid w:val="00147C94"/>
    <w:rsid w:val="0015305A"/>
    <w:rsid w:val="00154E2D"/>
    <w:rsid w:val="00155633"/>
    <w:rsid w:val="00156C1D"/>
    <w:rsid w:val="0015721D"/>
    <w:rsid w:val="0016317E"/>
    <w:rsid w:val="00165929"/>
    <w:rsid w:val="00181136"/>
    <w:rsid w:val="00185560"/>
    <w:rsid w:val="00185C97"/>
    <w:rsid w:val="00190610"/>
    <w:rsid w:val="00192616"/>
    <w:rsid w:val="0019416B"/>
    <w:rsid w:val="0019489E"/>
    <w:rsid w:val="001A49E0"/>
    <w:rsid w:val="001A5687"/>
    <w:rsid w:val="001C77DD"/>
    <w:rsid w:val="001C7BE0"/>
    <w:rsid w:val="001E0896"/>
    <w:rsid w:val="001F2857"/>
    <w:rsid w:val="00203581"/>
    <w:rsid w:val="002120E1"/>
    <w:rsid w:val="00214867"/>
    <w:rsid w:val="00225414"/>
    <w:rsid w:val="0022714E"/>
    <w:rsid w:val="002318B6"/>
    <w:rsid w:val="002334EC"/>
    <w:rsid w:val="00241916"/>
    <w:rsid w:val="002503D1"/>
    <w:rsid w:val="002572C3"/>
    <w:rsid w:val="0025782C"/>
    <w:rsid w:val="0026149E"/>
    <w:rsid w:val="00267579"/>
    <w:rsid w:val="002742B2"/>
    <w:rsid w:val="0027471F"/>
    <w:rsid w:val="00281FDE"/>
    <w:rsid w:val="002977A8"/>
    <w:rsid w:val="002A075A"/>
    <w:rsid w:val="002A14B6"/>
    <w:rsid w:val="002A66EB"/>
    <w:rsid w:val="002B1A42"/>
    <w:rsid w:val="002B605C"/>
    <w:rsid w:val="002D68AE"/>
    <w:rsid w:val="002F4868"/>
    <w:rsid w:val="002F5DF5"/>
    <w:rsid w:val="00302EAE"/>
    <w:rsid w:val="003039F6"/>
    <w:rsid w:val="003175CB"/>
    <w:rsid w:val="00317722"/>
    <w:rsid w:val="00324334"/>
    <w:rsid w:val="00326890"/>
    <w:rsid w:val="00333463"/>
    <w:rsid w:val="00335ACD"/>
    <w:rsid w:val="0034056E"/>
    <w:rsid w:val="00341EB6"/>
    <w:rsid w:val="003469EF"/>
    <w:rsid w:val="003501C0"/>
    <w:rsid w:val="00386A4A"/>
    <w:rsid w:val="003A34A7"/>
    <w:rsid w:val="003A6A7D"/>
    <w:rsid w:val="003A7266"/>
    <w:rsid w:val="003B3340"/>
    <w:rsid w:val="003B5150"/>
    <w:rsid w:val="003B6F57"/>
    <w:rsid w:val="003C08A4"/>
    <w:rsid w:val="003D7034"/>
    <w:rsid w:val="003E04BB"/>
    <w:rsid w:val="003E20F5"/>
    <w:rsid w:val="003E72FE"/>
    <w:rsid w:val="003F291F"/>
    <w:rsid w:val="003F7138"/>
    <w:rsid w:val="0040040E"/>
    <w:rsid w:val="00400A61"/>
    <w:rsid w:val="00406FF0"/>
    <w:rsid w:val="00414C57"/>
    <w:rsid w:val="0042232F"/>
    <w:rsid w:val="00423A86"/>
    <w:rsid w:val="00426984"/>
    <w:rsid w:val="00433FC7"/>
    <w:rsid w:val="0044489D"/>
    <w:rsid w:val="00453651"/>
    <w:rsid w:val="00453B43"/>
    <w:rsid w:val="00466601"/>
    <w:rsid w:val="00483812"/>
    <w:rsid w:val="004844A7"/>
    <w:rsid w:val="004A44BC"/>
    <w:rsid w:val="004A5203"/>
    <w:rsid w:val="004B46B5"/>
    <w:rsid w:val="004B6BA8"/>
    <w:rsid w:val="004D4D01"/>
    <w:rsid w:val="004E6611"/>
    <w:rsid w:val="004F05A3"/>
    <w:rsid w:val="004F08CF"/>
    <w:rsid w:val="004F20AF"/>
    <w:rsid w:val="0050096C"/>
    <w:rsid w:val="00500C7B"/>
    <w:rsid w:val="00512E3B"/>
    <w:rsid w:val="00512E48"/>
    <w:rsid w:val="00524B1F"/>
    <w:rsid w:val="00525700"/>
    <w:rsid w:val="0053532C"/>
    <w:rsid w:val="005457BE"/>
    <w:rsid w:val="005462FF"/>
    <w:rsid w:val="00555411"/>
    <w:rsid w:val="005568B3"/>
    <w:rsid w:val="00557690"/>
    <w:rsid w:val="0056407E"/>
    <w:rsid w:val="005749A5"/>
    <w:rsid w:val="0058739A"/>
    <w:rsid w:val="0059012D"/>
    <w:rsid w:val="00597802"/>
    <w:rsid w:val="005A0DE6"/>
    <w:rsid w:val="005A1DEE"/>
    <w:rsid w:val="005B4950"/>
    <w:rsid w:val="005C4674"/>
    <w:rsid w:val="005D3A63"/>
    <w:rsid w:val="005D46BF"/>
    <w:rsid w:val="005D55EB"/>
    <w:rsid w:val="005D7D2B"/>
    <w:rsid w:val="005E63D6"/>
    <w:rsid w:val="005F1EA9"/>
    <w:rsid w:val="005F2CF0"/>
    <w:rsid w:val="005F3F10"/>
    <w:rsid w:val="005F5F34"/>
    <w:rsid w:val="005F6E1D"/>
    <w:rsid w:val="00621DF0"/>
    <w:rsid w:val="00622CDB"/>
    <w:rsid w:val="00625FF9"/>
    <w:rsid w:val="006404B5"/>
    <w:rsid w:val="00640BD3"/>
    <w:rsid w:val="0065368D"/>
    <w:rsid w:val="006570CA"/>
    <w:rsid w:val="0066099B"/>
    <w:rsid w:val="00676CD6"/>
    <w:rsid w:val="00676D39"/>
    <w:rsid w:val="0069303A"/>
    <w:rsid w:val="006A1130"/>
    <w:rsid w:val="006A3788"/>
    <w:rsid w:val="006B2392"/>
    <w:rsid w:val="006B3F6B"/>
    <w:rsid w:val="006B6EC3"/>
    <w:rsid w:val="006C4B6B"/>
    <w:rsid w:val="006C5CCC"/>
    <w:rsid w:val="006D0E71"/>
    <w:rsid w:val="006E0380"/>
    <w:rsid w:val="006E2F05"/>
    <w:rsid w:val="006E4A85"/>
    <w:rsid w:val="006E751A"/>
    <w:rsid w:val="00701514"/>
    <w:rsid w:val="00704743"/>
    <w:rsid w:val="00712376"/>
    <w:rsid w:val="00714259"/>
    <w:rsid w:val="0071792F"/>
    <w:rsid w:val="00723E91"/>
    <w:rsid w:val="00726B94"/>
    <w:rsid w:val="00736944"/>
    <w:rsid w:val="00736B56"/>
    <w:rsid w:val="00740C19"/>
    <w:rsid w:val="00751886"/>
    <w:rsid w:val="00756AD6"/>
    <w:rsid w:val="00762080"/>
    <w:rsid w:val="00775B36"/>
    <w:rsid w:val="00777F23"/>
    <w:rsid w:val="007804BA"/>
    <w:rsid w:val="007806C2"/>
    <w:rsid w:val="0078717C"/>
    <w:rsid w:val="007910AE"/>
    <w:rsid w:val="00791ADB"/>
    <w:rsid w:val="0079229C"/>
    <w:rsid w:val="007A4E2C"/>
    <w:rsid w:val="007A69E6"/>
    <w:rsid w:val="007B096B"/>
    <w:rsid w:val="007B656B"/>
    <w:rsid w:val="007D1E64"/>
    <w:rsid w:val="007D539C"/>
    <w:rsid w:val="007E2463"/>
    <w:rsid w:val="007E683F"/>
    <w:rsid w:val="007F2BCC"/>
    <w:rsid w:val="008004A0"/>
    <w:rsid w:val="00801752"/>
    <w:rsid w:val="00821B6A"/>
    <w:rsid w:val="00833277"/>
    <w:rsid w:val="0084136A"/>
    <w:rsid w:val="00860CEB"/>
    <w:rsid w:val="00861A4C"/>
    <w:rsid w:val="00863C5B"/>
    <w:rsid w:val="00871E2E"/>
    <w:rsid w:val="00877117"/>
    <w:rsid w:val="008852E1"/>
    <w:rsid w:val="00894E8B"/>
    <w:rsid w:val="008A0F41"/>
    <w:rsid w:val="008B34E2"/>
    <w:rsid w:val="008D3B53"/>
    <w:rsid w:val="008D4EF9"/>
    <w:rsid w:val="008D5194"/>
    <w:rsid w:val="008D65B6"/>
    <w:rsid w:val="008E0977"/>
    <w:rsid w:val="008E1DA4"/>
    <w:rsid w:val="008F3CC0"/>
    <w:rsid w:val="008F3D86"/>
    <w:rsid w:val="008F7261"/>
    <w:rsid w:val="00904B2C"/>
    <w:rsid w:val="00907F53"/>
    <w:rsid w:val="00915726"/>
    <w:rsid w:val="00925160"/>
    <w:rsid w:val="009267CC"/>
    <w:rsid w:val="0093631B"/>
    <w:rsid w:val="00940207"/>
    <w:rsid w:val="00942B05"/>
    <w:rsid w:val="00946760"/>
    <w:rsid w:val="00954B23"/>
    <w:rsid w:val="00964458"/>
    <w:rsid w:val="00967A1E"/>
    <w:rsid w:val="00974C81"/>
    <w:rsid w:val="00977B5A"/>
    <w:rsid w:val="00985359"/>
    <w:rsid w:val="009A2B44"/>
    <w:rsid w:val="009A3853"/>
    <w:rsid w:val="009A6C74"/>
    <w:rsid w:val="009B2397"/>
    <w:rsid w:val="009B315A"/>
    <w:rsid w:val="009B34E2"/>
    <w:rsid w:val="009B4F65"/>
    <w:rsid w:val="009D4BEB"/>
    <w:rsid w:val="009D5094"/>
    <w:rsid w:val="009E7831"/>
    <w:rsid w:val="009E78AD"/>
    <w:rsid w:val="009F03E4"/>
    <w:rsid w:val="009F0692"/>
    <w:rsid w:val="009F2E5B"/>
    <w:rsid w:val="00A0082A"/>
    <w:rsid w:val="00A020A0"/>
    <w:rsid w:val="00A25DD0"/>
    <w:rsid w:val="00A31934"/>
    <w:rsid w:val="00A355B4"/>
    <w:rsid w:val="00A41083"/>
    <w:rsid w:val="00A444CA"/>
    <w:rsid w:val="00A557B3"/>
    <w:rsid w:val="00A5722A"/>
    <w:rsid w:val="00A63646"/>
    <w:rsid w:val="00A725F6"/>
    <w:rsid w:val="00A760C6"/>
    <w:rsid w:val="00A763B5"/>
    <w:rsid w:val="00A76632"/>
    <w:rsid w:val="00A766AA"/>
    <w:rsid w:val="00A90134"/>
    <w:rsid w:val="00A9020C"/>
    <w:rsid w:val="00A9670F"/>
    <w:rsid w:val="00AA13F2"/>
    <w:rsid w:val="00AA2344"/>
    <w:rsid w:val="00AC2A86"/>
    <w:rsid w:val="00AC5D31"/>
    <w:rsid w:val="00AD7BC8"/>
    <w:rsid w:val="00AE4115"/>
    <w:rsid w:val="00AE598C"/>
    <w:rsid w:val="00AE7045"/>
    <w:rsid w:val="00AF1ACF"/>
    <w:rsid w:val="00AF552F"/>
    <w:rsid w:val="00B02D6E"/>
    <w:rsid w:val="00B11B18"/>
    <w:rsid w:val="00B168DA"/>
    <w:rsid w:val="00B234B0"/>
    <w:rsid w:val="00B25C07"/>
    <w:rsid w:val="00B30CE4"/>
    <w:rsid w:val="00B31217"/>
    <w:rsid w:val="00B4118C"/>
    <w:rsid w:val="00B53A53"/>
    <w:rsid w:val="00B54FB6"/>
    <w:rsid w:val="00B57AF4"/>
    <w:rsid w:val="00B72703"/>
    <w:rsid w:val="00B77D7C"/>
    <w:rsid w:val="00B81B0C"/>
    <w:rsid w:val="00BA63CE"/>
    <w:rsid w:val="00BB0FF2"/>
    <w:rsid w:val="00BC1260"/>
    <w:rsid w:val="00BE5596"/>
    <w:rsid w:val="00BE7E43"/>
    <w:rsid w:val="00C10878"/>
    <w:rsid w:val="00C165D3"/>
    <w:rsid w:val="00C20887"/>
    <w:rsid w:val="00C2342B"/>
    <w:rsid w:val="00C25E02"/>
    <w:rsid w:val="00C272F7"/>
    <w:rsid w:val="00C30F50"/>
    <w:rsid w:val="00C3160D"/>
    <w:rsid w:val="00C33125"/>
    <w:rsid w:val="00C402A3"/>
    <w:rsid w:val="00C438EE"/>
    <w:rsid w:val="00C51123"/>
    <w:rsid w:val="00C604E2"/>
    <w:rsid w:val="00C62B3D"/>
    <w:rsid w:val="00C67F09"/>
    <w:rsid w:val="00C7730E"/>
    <w:rsid w:val="00C77EA7"/>
    <w:rsid w:val="00C809D4"/>
    <w:rsid w:val="00CB15D4"/>
    <w:rsid w:val="00CC45C3"/>
    <w:rsid w:val="00CE4D99"/>
    <w:rsid w:val="00CE6C37"/>
    <w:rsid w:val="00CE70A0"/>
    <w:rsid w:val="00CF0042"/>
    <w:rsid w:val="00CF0D47"/>
    <w:rsid w:val="00CF20FF"/>
    <w:rsid w:val="00CF288B"/>
    <w:rsid w:val="00CF7200"/>
    <w:rsid w:val="00D00133"/>
    <w:rsid w:val="00D03B8C"/>
    <w:rsid w:val="00D050DA"/>
    <w:rsid w:val="00D06192"/>
    <w:rsid w:val="00D234A6"/>
    <w:rsid w:val="00D2786C"/>
    <w:rsid w:val="00D31F08"/>
    <w:rsid w:val="00D3549D"/>
    <w:rsid w:val="00D421D9"/>
    <w:rsid w:val="00D4345D"/>
    <w:rsid w:val="00D53F38"/>
    <w:rsid w:val="00D5609A"/>
    <w:rsid w:val="00D56108"/>
    <w:rsid w:val="00D600B4"/>
    <w:rsid w:val="00D61ABD"/>
    <w:rsid w:val="00D62EED"/>
    <w:rsid w:val="00D733A5"/>
    <w:rsid w:val="00D737E1"/>
    <w:rsid w:val="00D9600C"/>
    <w:rsid w:val="00D9799B"/>
    <w:rsid w:val="00DA182B"/>
    <w:rsid w:val="00DA67F7"/>
    <w:rsid w:val="00DD198D"/>
    <w:rsid w:val="00DD525D"/>
    <w:rsid w:val="00DE24D9"/>
    <w:rsid w:val="00DE2A3B"/>
    <w:rsid w:val="00DF0D0A"/>
    <w:rsid w:val="00DF1032"/>
    <w:rsid w:val="00E02627"/>
    <w:rsid w:val="00E06666"/>
    <w:rsid w:val="00E24934"/>
    <w:rsid w:val="00E32835"/>
    <w:rsid w:val="00E34B0D"/>
    <w:rsid w:val="00E427BD"/>
    <w:rsid w:val="00E571CA"/>
    <w:rsid w:val="00E62FD6"/>
    <w:rsid w:val="00E660B1"/>
    <w:rsid w:val="00E77FB5"/>
    <w:rsid w:val="00E82840"/>
    <w:rsid w:val="00E82B56"/>
    <w:rsid w:val="00E83541"/>
    <w:rsid w:val="00E9257A"/>
    <w:rsid w:val="00E96725"/>
    <w:rsid w:val="00EA5017"/>
    <w:rsid w:val="00EA60B1"/>
    <w:rsid w:val="00EB5888"/>
    <w:rsid w:val="00EC2AF0"/>
    <w:rsid w:val="00EC78D9"/>
    <w:rsid w:val="00ED3978"/>
    <w:rsid w:val="00ED50E9"/>
    <w:rsid w:val="00EE058B"/>
    <w:rsid w:val="00EE477C"/>
    <w:rsid w:val="00EF66DC"/>
    <w:rsid w:val="00EF730A"/>
    <w:rsid w:val="00F0020D"/>
    <w:rsid w:val="00F11B6A"/>
    <w:rsid w:val="00F14B56"/>
    <w:rsid w:val="00F2311C"/>
    <w:rsid w:val="00F24E62"/>
    <w:rsid w:val="00F27F40"/>
    <w:rsid w:val="00F370CB"/>
    <w:rsid w:val="00F4121E"/>
    <w:rsid w:val="00F44513"/>
    <w:rsid w:val="00F47D4A"/>
    <w:rsid w:val="00F55541"/>
    <w:rsid w:val="00F56E35"/>
    <w:rsid w:val="00F6341F"/>
    <w:rsid w:val="00F83C82"/>
    <w:rsid w:val="00F914DD"/>
    <w:rsid w:val="00F96DE8"/>
    <w:rsid w:val="00F97057"/>
    <w:rsid w:val="00FA4C32"/>
    <w:rsid w:val="00FA52BD"/>
    <w:rsid w:val="00FB2785"/>
    <w:rsid w:val="00FB33DE"/>
    <w:rsid w:val="00FB6225"/>
    <w:rsid w:val="00FB65E7"/>
    <w:rsid w:val="00FC21C8"/>
    <w:rsid w:val="00FC30F4"/>
    <w:rsid w:val="00FE1258"/>
    <w:rsid w:val="00FE1DEC"/>
    <w:rsid w:val="00FE4064"/>
    <w:rsid w:val="00FE586F"/>
    <w:rsid w:val="00FF2AE1"/>
    <w:rsid w:val="00FF2D93"/>
    <w:rsid w:val="00FF4A66"/>
    <w:rsid w:val="00FF7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13C20C-751B-42E9-9DEF-74865564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4F08CF"/>
    <w:pPr>
      <w:jc w:val="center"/>
    </w:pPr>
    <w:rPr>
      <w:rFonts w:ascii="Univers (W1)" w:hAnsi="Univers (W1)"/>
      <w:b/>
      <w:sz w:val="24"/>
    </w:rPr>
  </w:style>
  <w:style w:type="character" w:customStyle="1" w:styleId="PuestoCar">
    <w:name w:val="Puesto Car"/>
    <w:basedOn w:val="Fuentedeprrafopredeter"/>
    <w:link w:val="Puest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semiHidden/>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customStyle="1" w:styleId="PiedepginaCar1">
    <w:name w:val="Pie de página Car1"/>
    <w:locked/>
    <w:rsid w:val="00EE058B"/>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E058B"/>
    <w:pPr>
      <w:widowControl w:val="0"/>
      <w:ind w:right="51"/>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301691502">
      <w:bodyDiv w:val="1"/>
      <w:marLeft w:val="0"/>
      <w:marRight w:val="0"/>
      <w:marTop w:val="0"/>
      <w:marBottom w:val="0"/>
      <w:divBdr>
        <w:top w:val="none" w:sz="0" w:space="0" w:color="auto"/>
        <w:left w:val="none" w:sz="0" w:space="0" w:color="auto"/>
        <w:bottom w:val="none" w:sz="0" w:space="0" w:color="auto"/>
        <w:right w:val="none" w:sz="0" w:space="0" w:color="auto"/>
      </w:divBdr>
    </w:div>
    <w:div w:id="486557108">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510875059">
      <w:bodyDiv w:val="1"/>
      <w:marLeft w:val="0"/>
      <w:marRight w:val="0"/>
      <w:marTop w:val="0"/>
      <w:marBottom w:val="0"/>
      <w:divBdr>
        <w:top w:val="none" w:sz="0" w:space="0" w:color="auto"/>
        <w:left w:val="none" w:sz="0" w:space="0" w:color="auto"/>
        <w:bottom w:val="none" w:sz="0" w:space="0" w:color="auto"/>
        <w:right w:val="none" w:sz="0" w:space="0" w:color="auto"/>
      </w:divBdr>
    </w:div>
    <w:div w:id="635838940">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37968078">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889219158">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vera@correo.uaa.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t.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28767-BD88-4D2C-95DE-4B204A3D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2714</Words>
  <Characters>14927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FINAZAS4</cp:lastModifiedBy>
  <cp:revision>2</cp:revision>
  <cp:lastPrinted>2018-06-01T19:23:00Z</cp:lastPrinted>
  <dcterms:created xsi:type="dcterms:W3CDTF">2018-06-01T19:45:00Z</dcterms:created>
  <dcterms:modified xsi:type="dcterms:W3CDTF">2018-06-01T19:45:00Z</dcterms:modified>
</cp:coreProperties>
</file>