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634E9CAB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12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doce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D07BA4">
        <w:rPr>
          <w:rFonts w:ascii="Arial" w:hAnsi="Arial" w:cs="Arial"/>
          <w:sz w:val="18"/>
          <w:szCs w:val="18"/>
          <w:lang w:val="es-MX"/>
        </w:rPr>
        <w:t>30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AC6945">
        <w:rPr>
          <w:rFonts w:ascii="Arial" w:hAnsi="Arial" w:cs="Arial"/>
          <w:sz w:val="18"/>
          <w:szCs w:val="18"/>
          <w:lang w:val="es-MX"/>
        </w:rPr>
        <w:t>mayo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D07BA4">
        <w:rPr>
          <w:rFonts w:ascii="Arial" w:hAnsi="Arial" w:cs="Arial"/>
          <w:sz w:val="18"/>
          <w:szCs w:val="18"/>
          <w:lang w:val="es-MX"/>
        </w:rPr>
        <w:t>2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D07BA4">
        <w:rPr>
          <w:rFonts w:ascii="Arial" w:hAnsi="Arial" w:cs="Arial"/>
          <w:sz w:val="18"/>
          <w:szCs w:val="18"/>
          <w:lang w:val="es-MX"/>
        </w:rPr>
        <w:t>27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AC6945">
        <w:rPr>
          <w:rFonts w:ascii="Arial" w:hAnsi="Arial" w:cs="Arial"/>
          <w:sz w:val="18"/>
          <w:szCs w:val="18"/>
          <w:lang w:val="es-MX"/>
        </w:rPr>
        <w:t>mayo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FD266A" w:rsidRPr="00CE369F">
        <w:rPr>
          <w:rFonts w:ascii="Arial" w:hAnsi="Arial" w:cs="Arial"/>
          <w:b w:val="0"/>
          <w:sz w:val="18"/>
          <w:szCs w:val="18"/>
          <w:lang w:val="es-MX"/>
        </w:rPr>
        <w:t>; así mismo se hace constar que se recibi</w:t>
      </w:r>
      <w:r w:rsidR="006F21D7" w:rsidRPr="00CE369F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FD266A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fuera del horario establecido </w:t>
      </w:r>
      <w:r w:rsidR="00FD266A" w:rsidRPr="00CE369F">
        <w:rPr>
          <w:rFonts w:ascii="Arial" w:hAnsi="Arial" w:cs="Arial"/>
          <w:b w:val="0"/>
          <w:sz w:val="18"/>
          <w:szCs w:val="18"/>
          <w:lang w:val="es-MX"/>
        </w:rPr>
        <w:t xml:space="preserve">preguntas de </w:t>
      </w:r>
      <w:r w:rsidR="00CE369F" w:rsidRPr="00CE369F">
        <w:rPr>
          <w:rFonts w:ascii="Arial" w:hAnsi="Arial" w:cs="Arial"/>
          <w:sz w:val="18"/>
          <w:szCs w:val="18"/>
          <w:lang w:val="es-MX"/>
        </w:rPr>
        <w:t xml:space="preserve">COMERCIALIZADORA DE INSUMOS AGS SA DE CV </w:t>
      </w:r>
      <w:r w:rsidR="00FD266A" w:rsidRPr="00CE369F">
        <w:rPr>
          <w:rFonts w:ascii="Arial" w:hAnsi="Arial" w:cs="Arial"/>
          <w:b w:val="0"/>
          <w:sz w:val="18"/>
          <w:szCs w:val="18"/>
          <w:lang w:val="es-MX"/>
        </w:rPr>
        <w:t xml:space="preserve">a las </w:t>
      </w:r>
      <w:r w:rsidR="006F12CB" w:rsidRPr="00CE369F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CE369F" w:rsidRPr="00CE369F">
        <w:rPr>
          <w:rFonts w:ascii="Arial" w:hAnsi="Arial" w:cs="Arial"/>
          <w:b w:val="0"/>
          <w:sz w:val="18"/>
          <w:szCs w:val="18"/>
          <w:lang w:val="es-MX"/>
        </w:rPr>
        <w:t>2</w:t>
      </w:r>
      <w:r w:rsidR="006F12CB" w:rsidRPr="00CE369F">
        <w:rPr>
          <w:rFonts w:ascii="Arial" w:hAnsi="Arial" w:cs="Arial"/>
          <w:b w:val="0"/>
          <w:sz w:val="18"/>
          <w:szCs w:val="18"/>
          <w:lang w:val="es-MX"/>
        </w:rPr>
        <w:t>:1</w:t>
      </w:r>
      <w:r w:rsidR="00CE369F" w:rsidRPr="00CE369F">
        <w:rPr>
          <w:rFonts w:ascii="Arial" w:hAnsi="Arial" w:cs="Arial"/>
          <w:b w:val="0"/>
          <w:sz w:val="18"/>
          <w:szCs w:val="18"/>
          <w:lang w:val="es-MX"/>
        </w:rPr>
        <w:t>4</w:t>
      </w:r>
      <w:r w:rsidR="006F12CB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horas, por lo que no </w:t>
      </w:r>
      <w:r w:rsidR="00CE369F" w:rsidRPr="00CE369F">
        <w:rPr>
          <w:rFonts w:ascii="Arial" w:hAnsi="Arial" w:cs="Arial"/>
          <w:b w:val="0"/>
          <w:sz w:val="18"/>
          <w:szCs w:val="18"/>
          <w:lang w:val="es-MX"/>
        </w:rPr>
        <w:t xml:space="preserve">es posible dar </w:t>
      </w:r>
      <w:r w:rsidR="006F12CB" w:rsidRPr="00CE369F">
        <w:rPr>
          <w:rFonts w:ascii="Arial" w:hAnsi="Arial" w:cs="Arial"/>
          <w:b w:val="0"/>
          <w:sz w:val="18"/>
          <w:szCs w:val="18"/>
          <w:lang w:val="es-MX"/>
        </w:rPr>
        <w:t xml:space="preserve">respuesta a la </w:t>
      </w:r>
      <w:r w:rsidR="0038717F" w:rsidRPr="00CE369F">
        <w:rPr>
          <w:rFonts w:ascii="Arial" w:hAnsi="Arial" w:cs="Arial"/>
          <w:b w:val="0"/>
          <w:sz w:val="18"/>
          <w:szCs w:val="18"/>
          <w:lang w:val="es-MX"/>
        </w:rPr>
        <w:t>pregunta.</w:t>
      </w:r>
      <w:r w:rsidR="006760DB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64CD17CC" w:rsidR="00B03706" w:rsidRPr="00412FD8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>Departamento de Mantenimiento de la Dirección General de 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-------------------</w:t>
      </w:r>
      <w:r w:rsidRPr="00E85045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E85045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B03706" w:rsidRPr="00412FD8">
        <w:rPr>
          <w:rFonts w:ascii="Arial" w:hAnsi="Arial" w:cs="Arial"/>
          <w:b w:val="0"/>
          <w:sz w:val="18"/>
          <w:szCs w:val="18"/>
        </w:rPr>
        <w:t>La convocante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412FD8">
        <w:rPr>
          <w:rFonts w:ascii="Arial" w:hAnsi="Arial" w:cs="Arial"/>
          <w:b w:val="0"/>
          <w:sz w:val="18"/>
          <w:szCs w:val="18"/>
        </w:rPr>
        <w:t>realiz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la</w:t>
      </w:r>
      <w:r w:rsidR="00F7582D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siguiente</w:t>
      </w:r>
      <w:r w:rsidR="00F7582D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412FD8">
        <w:rPr>
          <w:rFonts w:ascii="Arial" w:hAnsi="Arial" w:cs="Arial"/>
          <w:sz w:val="18"/>
          <w:szCs w:val="18"/>
        </w:rPr>
        <w:t>aclaraci</w:t>
      </w:r>
      <w:r w:rsidR="00F7582D">
        <w:rPr>
          <w:rFonts w:ascii="Arial" w:hAnsi="Arial" w:cs="Arial"/>
          <w:sz w:val="18"/>
          <w:szCs w:val="18"/>
          <w:lang w:val="es-ES"/>
        </w:rPr>
        <w:t>o</w:t>
      </w:r>
      <w:r w:rsidR="00D07BA4" w:rsidRPr="00412FD8">
        <w:rPr>
          <w:rFonts w:ascii="Arial" w:hAnsi="Arial" w:cs="Arial"/>
          <w:sz w:val="18"/>
          <w:szCs w:val="18"/>
          <w:lang w:val="es-ES"/>
        </w:rPr>
        <w:t>n</w:t>
      </w:r>
      <w:r w:rsidR="00F7582D">
        <w:rPr>
          <w:rFonts w:ascii="Arial" w:hAnsi="Arial" w:cs="Arial"/>
          <w:sz w:val="18"/>
          <w:szCs w:val="18"/>
          <w:lang w:val="es-ES"/>
        </w:rPr>
        <w:t>es</w:t>
      </w:r>
      <w:r w:rsidR="00B03706" w:rsidRPr="00412FD8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412FD8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412FD8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D20EA9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0F4D64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F4D64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17FFC0C6" w14:textId="77777777" w:rsidR="00C741A3" w:rsidRPr="000F4D64" w:rsidRDefault="00C741A3" w:rsidP="0034111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  <w:p w14:paraId="73F0C634" w14:textId="77777777" w:rsidR="00C741A3" w:rsidRPr="000F4D64" w:rsidRDefault="00C741A3" w:rsidP="0034111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Para la partida 10:</w:t>
            </w:r>
          </w:p>
          <w:p w14:paraId="76F0AC5A" w14:textId="77777777" w:rsidR="00C741A3" w:rsidRPr="000F4D64" w:rsidRDefault="00C741A3" w:rsidP="0034111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  <w:p w14:paraId="327DE9FA" w14:textId="77777777" w:rsidR="00C741A3" w:rsidRPr="000F4D64" w:rsidRDefault="00C741A3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  <w:r w:rsidRPr="000F4D6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En caso de que la ficha técnica no indique expresamente el cumplimiento de </w:t>
            </w:r>
            <w:r w:rsidR="00C77CC7" w:rsidRPr="000F4D6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>contar con</w:t>
            </w:r>
            <w:r w:rsidRPr="000F4D6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certificación de la Secretaria de Comunicación y Trasportes y/o del Instituto Mexicano del Petróleo</w:t>
            </w:r>
            <w:r w:rsidR="00DA0C7B" w:rsidRPr="000F4D6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y/o la norma correspondiente</w:t>
            </w:r>
            <w:r w:rsidRPr="000F4D6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, se deberá incluir manifiesto bajo protesta de decir verdad que se cumple con las normas </w:t>
            </w:r>
            <w:r w:rsidRPr="000F4D6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que regulan los requisitos de calidad de las pinturas para señalamiento horizontal, como lo es la </w:t>
            </w: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SCT-N·CMT·5·01·001</w:t>
            </w:r>
            <w:r w:rsidR="00C77CC7" w:rsidRPr="000F4D64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>.</w:t>
            </w:r>
          </w:p>
          <w:p w14:paraId="47A52740" w14:textId="0D773D78" w:rsidR="000F4D64" w:rsidRPr="000F4D64" w:rsidRDefault="000F4D64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3D7F21" w:rsidRPr="00D20EA9" w14:paraId="7B07F6DF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76F402C2" w14:textId="2CCC3191" w:rsidR="003D7F21" w:rsidRPr="000F4D64" w:rsidRDefault="000F4D64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F4D64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642D7AE2" w14:textId="77777777" w:rsidR="004360DC" w:rsidRDefault="004360DC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</w:p>
          <w:p w14:paraId="0A1AB3F5" w14:textId="793E4016" w:rsidR="003D7F21" w:rsidRPr="000F4D64" w:rsidRDefault="003D7F21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  <w:t xml:space="preserve">Para la partida 5 y 6: </w:t>
            </w:r>
          </w:p>
          <w:p w14:paraId="3D766BA3" w14:textId="77777777" w:rsidR="003D7F21" w:rsidRPr="000F4D64" w:rsidRDefault="003D7F21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  <w:p w14:paraId="030C1772" w14:textId="77777777" w:rsidR="003D7F21" w:rsidRPr="000F4D64" w:rsidRDefault="003D7F21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</w:pPr>
            <w:r w:rsidRPr="000F4D6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Se deberá agregar la o las certificaciones correspondientes expedidas por organismos nacionales de certificación que cuente con acreditación EMA o la Asocian Nacional de Fabricación de Pinturas, para corroborar la característica de lavabilidad, </w:t>
            </w:r>
            <w:r w:rsidRPr="000F4D64"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  <w:t>en caso de no contar con el certificado</w:t>
            </w:r>
            <w:r w:rsidRPr="000F4D64"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  <w:t xml:space="preserve">, </w:t>
            </w: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se deberá integrar un manifiesto bajo protesta de decir verdad de que se cuenta con la característica de lavabilidad conforme a lo establecido en la descripción técnica del producto.</w:t>
            </w:r>
            <w:r w:rsidRPr="000F4D64"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</w:p>
          <w:p w14:paraId="01EC31FB" w14:textId="77777777" w:rsidR="003D7F21" w:rsidRPr="000F4D64" w:rsidRDefault="003D7F21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  <w:p w14:paraId="5D461B30" w14:textId="77777777" w:rsidR="003D7F21" w:rsidRPr="000F4D64" w:rsidRDefault="003D7F21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</w:pPr>
            <w:r w:rsidRPr="000F4D64"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Si se deberán poder corroborar en el Anexo 1 y en fichas técnicas presentadas, las características mínimas requeridas por la convocante.  </w:t>
            </w:r>
          </w:p>
          <w:p w14:paraId="658DE955" w14:textId="77777777" w:rsidR="00E75088" w:rsidRPr="000F4D64" w:rsidRDefault="00E75088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u w:val="single"/>
                <w:shd w:val="clear" w:color="auto" w:fill="FFFFFF"/>
              </w:rPr>
            </w:pPr>
          </w:p>
          <w:p w14:paraId="103D3F78" w14:textId="0D9B8EBB" w:rsidR="00E75088" w:rsidRPr="000F4D64" w:rsidRDefault="000F4D64" w:rsidP="003D7F21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</w:pP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S</w:t>
            </w:r>
            <w:r w:rsidR="00E75088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e deberán poder corroborar los ciclos de lavabilidad </w:t>
            </w:r>
            <w:r w:rsidR="001A0603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siendo </w:t>
            </w:r>
            <w:r w:rsidR="00875A76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mínimo</w:t>
            </w:r>
            <w:r w:rsidR="001A0603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de 5</w:t>
            </w: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,</w:t>
            </w:r>
            <w:r w:rsidR="00E75088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000</w:t>
            </w:r>
            <w:r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.</w:t>
            </w:r>
          </w:p>
          <w:p w14:paraId="18B88D0D" w14:textId="77777777" w:rsidR="003D7F21" w:rsidRPr="000F4D64" w:rsidRDefault="003D7F21" w:rsidP="0034111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3C32884" w14:textId="4439AEC6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50F62F7C" w14:textId="77777777" w:rsidR="004354B7" w:rsidRPr="007F7893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lastRenderedPageBreak/>
        <w:t>-</w:t>
      </w:r>
      <w:r w:rsidR="009A537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4785"/>
        <w:gridCol w:w="2087"/>
        <w:gridCol w:w="1224"/>
      </w:tblGrid>
      <w:tr w:rsidR="004354B7" w:rsidRPr="007F7893" w14:paraId="094796D5" w14:textId="77777777" w:rsidTr="00680248">
        <w:trPr>
          <w:trHeight w:val="254"/>
        </w:trPr>
        <w:tc>
          <w:tcPr>
            <w:tcW w:w="270" w:type="pct"/>
            <w:shd w:val="clear" w:color="auto" w:fill="D9D9D9"/>
          </w:tcPr>
          <w:p w14:paraId="0F88989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4" w:type="pct"/>
            <w:shd w:val="clear" w:color="auto" w:fill="D9D9D9"/>
          </w:tcPr>
          <w:p w14:paraId="0652ABF4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20" w:type="pct"/>
            <w:shd w:val="clear" w:color="auto" w:fill="D9D9D9"/>
          </w:tcPr>
          <w:p w14:paraId="2C9B73FA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6" w:type="pct"/>
            <w:shd w:val="clear" w:color="auto" w:fill="D9D9D9"/>
          </w:tcPr>
          <w:p w14:paraId="62BD0A7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4354B7" w:rsidRPr="00341113" w14:paraId="4C0C8C91" w14:textId="77777777" w:rsidTr="00415B2E">
        <w:trPr>
          <w:trHeight w:val="172"/>
        </w:trPr>
        <w:tc>
          <w:tcPr>
            <w:tcW w:w="270" w:type="pct"/>
            <w:vAlign w:val="center"/>
          </w:tcPr>
          <w:p w14:paraId="1A7218D0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4" w:type="pct"/>
            <w:vAlign w:val="center"/>
          </w:tcPr>
          <w:p w14:paraId="262E9637" w14:textId="77777777" w:rsidR="004354B7" w:rsidRPr="00341113" w:rsidRDefault="00D07BA4" w:rsidP="0096055B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JUAN CARLOS RAMOS GUTIÉRREZ</w:t>
            </w:r>
          </w:p>
        </w:tc>
        <w:tc>
          <w:tcPr>
            <w:tcW w:w="1220" w:type="pct"/>
            <w:vAlign w:val="center"/>
          </w:tcPr>
          <w:p w14:paraId="64458DBA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B5AF8ED" w14:textId="77777777" w:rsidR="004354B7" w:rsidRPr="00341113" w:rsidRDefault="00D702C9" w:rsidP="00D07BA4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D07BA4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</w:tr>
      <w:tr w:rsidR="00A11261" w:rsidRPr="00341113" w14:paraId="6D4451EF" w14:textId="77777777" w:rsidTr="00F9265B">
        <w:trPr>
          <w:trHeight w:val="107"/>
        </w:trPr>
        <w:tc>
          <w:tcPr>
            <w:tcW w:w="270" w:type="pct"/>
            <w:vAlign w:val="center"/>
          </w:tcPr>
          <w:p w14:paraId="187962CE" w14:textId="77777777" w:rsidR="00A11261" w:rsidRPr="00341113" w:rsidRDefault="00A11261" w:rsidP="00A11261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794" w:type="pct"/>
            <w:vAlign w:val="center"/>
          </w:tcPr>
          <w:p w14:paraId="03D0414C" w14:textId="77777777" w:rsidR="00A11261" w:rsidRPr="00F9265B" w:rsidRDefault="00F9265B" w:rsidP="00F9265B">
            <w:pPr>
              <w:pStyle w:val="Sinespaciado"/>
              <w:rPr>
                <w:u w:val="single"/>
                <w:lang w:val="es-ES"/>
              </w:rPr>
            </w:pPr>
            <w:r w:rsidRPr="00F9265B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JANETT OVALLE SOLTERO</w:t>
            </w:r>
          </w:p>
        </w:tc>
        <w:tc>
          <w:tcPr>
            <w:tcW w:w="1220" w:type="pct"/>
            <w:vAlign w:val="center"/>
          </w:tcPr>
          <w:p w14:paraId="6765A685" w14:textId="77777777" w:rsidR="00A11261" w:rsidRPr="00F9265B" w:rsidRDefault="00A11261" w:rsidP="00A11261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9265B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1B23912" w14:textId="77777777" w:rsidR="00A11261" w:rsidRPr="00F9265B" w:rsidRDefault="00D702C9" w:rsidP="00D702C9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9265B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F9265B" w:rsidRPr="00F9265B"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</w:tr>
    </w:tbl>
    <w:p w14:paraId="71083B54" w14:textId="77777777" w:rsidR="004354B7" w:rsidRPr="00C56E4D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63D8E8F2" w14:textId="77777777" w:rsidR="004354B7" w:rsidRPr="00374997" w:rsidRDefault="004354B7" w:rsidP="004354B7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36D6741" w14:textId="77777777" w:rsidR="00C151CF" w:rsidRDefault="00C151CF" w:rsidP="00C151CF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671EEC32" w14:textId="77777777" w:rsidR="00C151CF" w:rsidRDefault="00C151CF" w:rsidP="00C151CF">
      <w:pPr>
        <w:pStyle w:val="Sangradetextonormal"/>
        <w:ind w:left="0" w:right="48"/>
        <w:rPr>
          <w:rFonts w:ascii="Arial" w:hAnsi="Arial" w:cs="Arial"/>
          <w:b w:val="0"/>
          <w:sz w:val="17"/>
          <w:szCs w:val="17"/>
          <w:lang w:val="es-ES"/>
        </w:rPr>
      </w:pPr>
    </w:p>
    <w:p w14:paraId="28583439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Empresa: JUAN CARLOS RAMOS GUTIÉRREZ</w:t>
      </w:r>
    </w:p>
    <w:p w14:paraId="5AD8446C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35C5DBA5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No. de preguntas: 02</w:t>
      </w:r>
    </w:p>
    <w:p w14:paraId="02881ED0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2C48AF" w14:paraId="5C242A8D" w14:textId="77777777" w:rsidTr="00515532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3B12CB2F" w14:textId="77777777" w:rsidR="002C48AF" w:rsidRDefault="002C48AF" w:rsidP="0051553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5B0997B3" w14:textId="77777777" w:rsidR="002C48AF" w:rsidRDefault="002C48AF" w:rsidP="0051553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1A0DA5C4" w14:textId="77777777" w:rsidR="002C48AF" w:rsidRDefault="002C48AF" w:rsidP="00515532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189D0DB9" w14:textId="77777777" w:rsidR="002C48AF" w:rsidRDefault="002C48AF" w:rsidP="00515532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2C48AF" w14:paraId="1ADB894A" w14:textId="77777777" w:rsidTr="00515532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28153D6" w14:textId="77777777" w:rsidR="002C48AF" w:rsidRDefault="002C48AF" w:rsidP="005155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67A392B" w14:textId="77777777" w:rsidR="002C48AF" w:rsidRPr="00967392" w:rsidRDefault="002C48AF" w:rsidP="0051553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500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F00D58" w14:textId="77777777" w:rsidR="002C48AF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Para el caso </w:t>
            </w:r>
            <w:proofErr w:type="gram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de  la</w:t>
            </w:r>
            <w:proofErr w:type="gram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Lavabilidad</w:t>
            </w:r>
            <w:proofErr w:type="spell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requieren de ˃50,000 ciclos. Este dato puede ser impreciso ya que ninguna pintura en esa categoría de acuerdo a los métodos de prueba ASTM cumple con tantos ciclos de </w:t>
            </w:r>
            <w:proofErr w:type="spell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lavabilidad</w:t>
            </w:r>
            <w:proofErr w:type="spell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. Normalmente el rango esta entre los 3,000 a 5,000 ciclos.</w:t>
            </w:r>
          </w:p>
          <w:p w14:paraId="093CEA4C" w14:textId="77777777" w:rsidR="002C48AF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00F52CDF" w14:textId="52B9C956" w:rsidR="002C48AF" w:rsidRDefault="002C48AF" w:rsidP="00875A7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07C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Respuesta:</w:t>
            </w:r>
            <w:r w:rsidR="00A947D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="000F4D6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Para la partida 5 se deberán </w:t>
            </w:r>
            <w:r w:rsidR="000F4D64" w:rsidRPr="000F4D6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cubrir los requisitos establecido en la convocatoria, en esta junta de aclaraciones y se </w:t>
            </w:r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deberán poder corroborar los ciclos de </w:t>
            </w:r>
            <w:proofErr w:type="spellStart"/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lavabilidad</w:t>
            </w:r>
            <w:proofErr w:type="spellEnd"/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siendo </w:t>
            </w:r>
            <w:r w:rsidR="004360DC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mínimo</w:t>
            </w:r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de 5,000.</w:t>
            </w:r>
          </w:p>
          <w:p w14:paraId="58C71085" w14:textId="77777777" w:rsidR="00A947DC" w:rsidRDefault="00A947DC" w:rsidP="00875A7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264AA05" w14:textId="0F2DB27C" w:rsidR="002C48AF" w:rsidRPr="005007C4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2C48AF" w14:paraId="0897A1E0" w14:textId="77777777" w:rsidTr="00515532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2E9EF1" w14:textId="77777777" w:rsidR="002C48AF" w:rsidRDefault="002C48AF" w:rsidP="005155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947331" w14:textId="77777777" w:rsidR="002C48AF" w:rsidRDefault="002C48AF" w:rsidP="005155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141185" w14:textId="77777777" w:rsidR="002C48AF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Para el caso </w:t>
            </w:r>
            <w:proofErr w:type="gram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de  la</w:t>
            </w:r>
            <w:proofErr w:type="gram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Lavabilidad</w:t>
            </w:r>
            <w:proofErr w:type="spell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requieren de ˃50,000 ciclos. Este dato puede ser impreciso ya que ninguna pintura en esa categoría de acuerdo a los métodos de prueba ASTM cumple con tantos ciclos de </w:t>
            </w:r>
            <w:proofErr w:type="spellStart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lavabilidad</w:t>
            </w:r>
            <w:proofErr w:type="spellEnd"/>
            <w:r w:rsidRPr="005007C4">
              <w:rPr>
                <w:rFonts w:ascii="Arial" w:hAnsi="Arial" w:cs="Arial"/>
                <w:bCs/>
                <w:color w:val="auto"/>
                <w:sz w:val="16"/>
                <w:szCs w:val="16"/>
              </w:rPr>
              <w:t>. Normalmente el rango esta entre los 3,000 a 5,000 ciclos.</w:t>
            </w:r>
          </w:p>
          <w:p w14:paraId="1CF0D251" w14:textId="77777777" w:rsidR="002C48AF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0F6FF836" w14:textId="07380F8C" w:rsidR="000F4D64" w:rsidRDefault="002C48AF" w:rsidP="00875A7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07C4">
              <w:rPr>
                <w:rFonts w:ascii="Arial" w:hAnsi="Arial" w:cs="Arial"/>
                <w:b/>
                <w:bCs/>
                <w:sz w:val="16"/>
                <w:szCs w:val="16"/>
              </w:rPr>
              <w:t>Respuesta:</w:t>
            </w:r>
            <w:r w:rsidR="000F4D6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Para la partida 6 se deberán </w:t>
            </w:r>
            <w:r w:rsidR="000F4D64" w:rsidRPr="000F4D6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cubrir los requisitos establecido en la convocatoria, en esta junta de aclaraciones y se </w:t>
            </w:r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deberán poder corroborar los ciclos de </w:t>
            </w:r>
            <w:proofErr w:type="spellStart"/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lavabilidad</w:t>
            </w:r>
            <w:proofErr w:type="spellEnd"/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siendo </w:t>
            </w:r>
            <w:r w:rsidR="004360DC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>mínimo</w:t>
            </w:r>
            <w:r w:rsidR="000F4D64" w:rsidRPr="000F4D64">
              <w:rPr>
                <w:rFonts w:ascii="Arial" w:hAnsi="Arial" w:cs="Arial"/>
                <w:b/>
                <w:color w:val="201F1E"/>
                <w:sz w:val="16"/>
                <w:szCs w:val="16"/>
                <w:u w:val="single"/>
                <w:shd w:val="clear" w:color="auto" w:fill="FFFFFF"/>
              </w:rPr>
              <w:t xml:space="preserve"> de 5,000.</w:t>
            </w:r>
          </w:p>
          <w:p w14:paraId="1ACEBF8F" w14:textId="4B6387EA" w:rsidR="002C48AF" w:rsidRPr="005007C4" w:rsidRDefault="002C48AF" w:rsidP="00875A7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</w:tbl>
    <w:p w14:paraId="3C29C872" w14:textId="77777777" w:rsidR="007E05E5" w:rsidRDefault="007E05E5" w:rsidP="007E05E5">
      <w:pPr>
        <w:jc w:val="both"/>
        <w:rPr>
          <w:rFonts w:ascii="Arial" w:hAnsi="Arial" w:cs="Arial"/>
          <w:b/>
          <w:sz w:val="17"/>
          <w:szCs w:val="17"/>
        </w:rPr>
      </w:pPr>
    </w:p>
    <w:p w14:paraId="29FB8E7D" w14:textId="77777777" w:rsidR="00F9265B" w:rsidRPr="00F9265B" w:rsidRDefault="007E05E5" w:rsidP="007E05E5">
      <w:pPr>
        <w:jc w:val="both"/>
        <w:rPr>
          <w:rFonts w:ascii="Arial" w:hAnsi="Arial" w:cs="Arial"/>
          <w:b/>
          <w:sz w:val="17"/>
          <w:szCs w:val="17"/>
          <w:lang w:val="es-MX"/>
        </w:rPr>
      </w:pPr>
      <w:r w:rsidRPr="00F9265B">
        <w:rPr>
          <w:rFonts w:ascii="Arial" w:hAnsi="Arial" w:cs="Arial"/>
          <w:b/>
          <w:sz w:val="17"/>
          <w:szCs w:val="17"/>
          <w:lang w:val="es-MX"/>
        </w:rPr>
        <w:t xml:space="preserve">Empresa: </w:t>
      </w:r>
      <w:proofErr w:type="spellStart"/>
      <w:r w:rsidR="00F9265B" w:rsidRPr="00F9265B">
        <w:rPr>
          <w:rFonts w:ascii="Arial" w:hAnsi="Arial" w:cs="Arial"/>
          <w:b/>
          <w:sz w:val="17"/>
          <w:szCs w:val="17"/>
          <w:lang w:val="es-MX"/>
        </w:rPr>
        <w:t>Janett</w:t>
      </w:r>
      <w:proofErr w:type="spellEnd"/>
      <w:r w:rsidR="00F9265B" w:rsidRPr="00F9265B">
        <w:rPr>
          <w:rFonts w:ascii="Arial" w:hAnsi="Arial" w:cs="Arial"/>
          <w:b/>
          <w:sz w:val="17"/>
          <w:szCs w:val="17"/>
          <w:lang w:val="es-MX"/>
        </w:rPr>
        <w:t xml:space="preserve"> Ovalle Soltero</w:t>
      </w:r>
    </w:p>
    <w:p w14:paraId="3296196B" w14:textId="77777777" w:rsidR="007E05E5" w:rsidRPr="00F9265B" w:rsidRDefault="007E05E5" w:rsidP="007E05E5">
      <w:pPr>
        <w:jc w:val="both"/>
        <w:rPr>
          <w:rFonts w:ascii="Arial" w:hAnsi="Arial" w:cs="Arial"/>
          <w:b/>
          <w:sz w:val="17"/>
          <w:szCs w:val="17"/>
        </w:rPr>
      </w:pPr>
      <w:r w:rsidRPr="00F9265B"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4359E6B4" w14:textId="77777777" w:rsidR="007E05E5" w:rsidRPr="00F9265B" w:rsidRDefault="00F9265B" w:rsidP="007E05E5">
      <w:pPr>
        <w:jc w:val="both"/>
        <w:rPr>
          <w:rFonts w:ascii="Arial" w:hAnsi="Arial" w:cs="Arial"/>
          <w:b/>
          <w:sz w:val="17"/>
          <w:szCs w:val="17"/>
        </w:rPr>
      </w:pPr>
      <w:r w:rsidRPr="00F9265B">
        <w:rPr>
          <w:rFonts w:ascii="Arial" w:hAnsi="Arial" w:cs="Arial"/>
          <w:b/>
          <w:sz w:val="17"/>
          <w:szCs w:val="17"/>
        </w:rPr>
        <w:t>No. de preguntas: 03</w:t>
      </w:r>
    </w:p>
    <w:p w14:paraId="6AF45025" w14:textId="77777777" w:rsidR="007E05E5" w:rsidRPr="00F9265B" w:rsidRDefault="007E05E5" w:rsidP="007E05E5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829" w:type="dxa"/>
        <w:tblInd w:w="1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936"/>
        <w:gridCol w:w="5988"/>
      </w:tblGrid>
      <w:tr w:rsidR="00F9265B" w:rsidRPr="00085848" w14:paraId="75A0565C" w14:textId="77777777" w:rsidTr="00875A76">
        <w:trPr>
          <w:trHeight w:val="659"/>
        </w:trPr>
        <w:tc>
          <w:tcPr>
            <w:tcW w:w="905" w:type="dxa"/>
            <w:shd w:val="clear" w:color="auto" w:fill="D8D8D8"/>
          </w:tcPr>
          <w:p w14:paraId="39B38398" w14:textId="77777777" w:rsidR="00F9265B" w:rsidRPr="00085848" w:rsidRDefault="00F9265B" w:rsidP="00085848">
            <w:pPr>
              <w:widowControl w:val="0"/>
              <w:spacing w:line="219" w:lineRule="exact"/>
              <w:ind w:left="126" w:right="116"/>
              <w:jc w:val="center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Número</w:t>
            </w:r>
          </w:p>
        </w:tc>
        <w:tc>
          <w:tcPr>
            <w:tcW w:w="1936" w:type="dxa"/>
            <w:shd w:val="clear" w:color="auto" w:fill="D8D8D8"/>
          </w:tcPr>
          <w:p w14:paraId="36CC2447" w14:textId="77777777" w:rsidR="00F9265B" w:rsidRPr="00085848" w:rsidRDefault="00F9265B" w:rsidP="00085848">
            <w:pPr>
              <w:widowControl w:val="0"/>
              <w:ind w:left="438" w:right="202" w:hanging="214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Partida, Punto,</w:t>
            </w:r>
            <w:r w:rsidRPr="00085848">
              <w:rPr>
                <w:rFonts w:ascii="Arial" w:eastAsia="Calibri" w:hAnsi="Arial" w:cs="Arial"/>
                <w:b/>
                <w:spacing w:val="-39"/>
                <w:sz w:val="17"/>
                <w:szCs w:val="17"/>
              </w:rPr>
              <w:t xml:space="preserve"> </w:t>
            </w: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Numeral,</w:t>
            </w:r>
          </w:p>
          <w:p w14:paraId="50988B43" w14:textId="77777777" w:rsidR="00F9265B" w:rsidRPr="00085848" w:rsidRDefault="00F9265B" w:rsidP="00085848">
            <w:pPr>
              <w:widowControl w:val="0"/>
              <w:spacing w:before="1" w:line="199" w:lineRule="exact"/>
              <w:ind w:left="148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apartado,</w:t>
            </w:r>
            <w:r w:rsidRPr="00085848">
              <w:rPr>
                <w:rFonts w:ascii="Arial" w:eastAsia="Calibri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anexo.</w:t>
            </w:r>
          </w:p>
        </w:tc>
        <w:tc>
          <w:tcPr>
            <w:tcW w:w="5988" w:type="dxa"/>
            <w:shd w:val="clear" w:color="auto" w:fill="D8D8D8"/>
          </w:tcPr>
          <w:p w14:paraId="07237085" w14:textId="77777777" w:rsidR="00F9265B" w:rsidRPr="00085848" w:rsidRDefault="00F9265B" w:rsidP="00085848">
            <w:pPr>
              <w:widowControl w:val="0"/>
              <w:spacing w:line="219" w:lineRule="exact"/>
              <w:ind w:left="2382" w:right="2375"/>
              <w:jc w:val="center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Texto</w:t>
            </w:r>
            <w:r w:rsidRPr="00085848">
              <w:rPr>
                <w:rFonts w:ascii="Arial" w:eastAsia="Calibri" w:hAnsi="Arial" w:cs="Arial"/>
                <w:b/>
                <w:spacing w:val="-3"/>
                <w:sz w:val="17"/>
                <w:szCs w:val="17"/>
              </w:rPr>
              <w:t xml:space="preserve"> </w:t>
            </w: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de</w:t>
            </w:r>
            <w:r w:rsidRPr="00085848">
              <w:rPr>
                <w:rFonts w:ascii="Arial" w:eastAsia="Calibri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la</w:t>
            </w:r>
            <w:r w:rsidRPr="00085848">
              <w:rPr>
                <w:rFonts w:ascii="Arial" w:eastAsia="Calibri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085848">
              <w:rPr>
                <w:rFonts w:ascii="Arial" w:eastAsia="Calibri" w:hAnsi="Arial" w:cs="Arial"/>
                <w:b/>
                <w:sz w:val="17"/>
                <w:szCs w:val="17"/>
              </w:rPr>
              <w:t>pregunta</w:t>
            </w:r>
          </w:p>
        </w:tc>
      </w:tr>
      <w:tr w:rsidR="00F9265B" w:rsidRPr="00085848" w14:paraId="7AABFEE9" w14:textId="77777777" w:rsidTr="00875A76">
        <w:trPr>
          <w:trHeight w:val="220"/>
        </w:trPr>
        <w:tc>
          <w:tcPr>
            <w:tcW w:w="905" w:type="dxa"/>
            <w:shd w:val="clear" w:color="auto" w:fill="auto"/>
            <w:vAlign w:val="center"/>
          </w:tcPr>
          <w:p w14:paraId="231E0288" w14:textId="77777777" w:rsidR="00F9265B" w:rsidRPr="00875A76" w:rsidRDefault="00F9265B" w:rsidP="00085848">
            <w:pPr>
              <w:widowControl w:val="0"/>
              <w:spacing w:line="200" w:lineRule="exact"/>
              <w:ind w:left="7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153DFAA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>Apartado X, No. 2.1 (documentos 2 y 3)</w:t>
            </w:r>
          </w:p>
        </w:tc>
        <w:tc>
          <w:tcPr>
            <w:tcW w:w="5988" w:type="dxa"/>
            <w:shd w:val="clear" w:color="auto" w:fill="auto"/>
          </w:tcPr>
          <w:p w14:paraId="19B868CF" w14:textId="77777777" w:rsidR="00CE369F" w:rsidRPr="00875A76" w:rsidRDefault="00CE369F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997DD4" w14:textId="77777777" w:rsidR="00F9265B" w:rsidRPr="00875A76" w:rsidRDefault="00F9265B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 xml:space="preserve">En nuestro caso, empresa: </w:t>
            </w:r>
            <w:proofErr w:type="spellStart"/>
            <w:r w:rsidRPr="00875A76">
              <w:rPr>
                <w:rFonts w:ascii="Arial" w:eastAsia="Calibri" w:hAnsi="Arial" w:cs="Arial"/>
                <w:sz w:val="16"/>
                <w:szCs w:val="16"/>
              </w:rPr>
              <w:t>Janett</w:t>
            </w:r>
            <w:proofErr w:type="spellEnd"/>
            <w:r w:rsidRPr="00875A76">
              <w:rPr>
                <w:rFonts w:ascii="Arial" w:eastAsia="Calibri" w:hAnsi="Arial" w:cs="Arial"/>
                <w:sz w:val="16"/>
                <w:szCs w:val="16"/>
              </w:rPr>
              <w:t xml:space="preserve"> Ovalle Soltero, no se paga seguro social debido a que no tenemos personal asegurado y por lo tanto tampoco se aplica pago de INFONAVIT, al </w:t>
            </w:r>
            <w:proofErr w:type="gramStart"/>
            <w:r w:rsidRPr="00875A76">
              <w:rPr>
                <w:rFonts w:ascii="Arial" w:eastAsia="Calibri" w:hAnsi="Arial" w:cs="Arial"/>
                <w:sz w:val="16"/>
                <w:szCs w:val="16"/>
              </w:rPr>
              <w:t>ser  estos</w:t>
            </w:r>
            <w:proofErr w:type="gramEnd"/>
            <w:r w:rsidRPr="00875A76">
              <w:rPr>
                <w:rFonts w:ascii="Arial" w:eastAsia="Calibri" w:hAnsi="Arial" w:cs="Arial"/>
                <w:sz w:val="16"/>
                <w:szCs w:val="16"/>
              </w:rPr>
              <w:t xml:space="preserve"> documentos requisito obligatorio, ¿De qué manera se pueden justificar y/o sustituir?</w:t>
            </w:r>
          </w:p>
          <w:p w14:paraId="657D036F" w14:textId="77777777" w:rsidR="00CE369F" w:rsidRPr="00875A76" w:rsidRDefault="00CE369F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F995DD" w14:textId="77777777" w:rsidR="00CE369F" w:rsidRPr="00875A76" w:rsidRDefault="00CE369F" w:rsidP="00085848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</w:rPr>
              <w:t xml:space="preserve">R: </w:t>
            </w:r>
            <w:r w:rsidR="00A27B8B" w:rsidRPr="00875A76">
              <w:rPr>
                <w:rFonts w:ascii="Arial" w:eastAsia="Calibri" w:hAnsi="Arial" w:cs="Arial"/>
                <w:b/>
                <w:sz w:val="16"/>
                <w:szCs w:val="16"/>
              </w:rPr>
              <w:t xml:space="preserve">Para dar cumplimiento a este apartado se deberá anexar manifiesto bajo protesta de decir verdad en el que mencione que no le son aplicables el pago ante el IMSS e INFONAVIT, asimismo deberá integrar la Constancia de Situación Fiscal vigente, en el que pueda observarse que no se cuenta con la obligación de “Entero de retenciones mensuales de ISR por sueldos y salarios”. </w:t>
            </w:r>
          </w:p>
          <w:p w14:paraId="0CF6FF47" w14:textId="77777777" w:rsidR="00CE369F" w:rsidRPr="00875A76" w:rsidRDefault="00CE369F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265B" w:rsidRPr="00085848" w14:paraId="1F78CCB4" w14:textId="77777777" w:rsidTr="00875A76">
        <w:trPr>
          <w:trHeight w:val="220"/>
        </w:trPr>
        <w:tc>
          <w:tcPr>
            <w:tcW w:w="905" w:type="dxa"/>
            <w:shd w:val="clear" w:color="auto" w:fill="auto"/>
            <w:vAlign w:val="center"/>
          </w:tcPr>
          <w:p w14:paraId="335F32B9" w14:textId="77777777" w:rsidR="00F9265B" w:rsidRPr="00875A76" w:rsidRDefault="00F9265B" w:rsidP="00085848">
            <w:pPr>
              <w:widowControl w:val="0"/>
              <w:spacing w:line="26" w:lineRule="exact"/>
              <w:ind w:left="4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629A345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6697384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76818CE8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3078715" w14:textId="77777777" w:rsidR="00F9265B" w:rsidRPr="00875A76" w:rsidRDefault="00F9265B" w:rsidP="00085848">
            <w:pPr>
              <w:widowControl w:val="0"/>
              <w:tabs>
                <w:tab w:val="left" w:pos="671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2D61290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>Apartado X, No. 6</w:t>
            </w:r>
          </w:p>
        </w:tc>
        <w:tc>
          <w:tcPr>
            <w:tcW w:w="5988" w:type="dxa"/>
            <w:shd w:val="clear" w:color="auto" w:fill="auto"/>
          </w:tcPr>
          <w:p w14:paraId="5992E14C" w14:textId="77777777" w:rsidR="00F9265B" w:rsidRPr="00875A76" w:rsidRDefault="00F9265B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 xml:space="preserve">Para la partida No. 10 (Pintura trafico amarillo), ¿Es suficiente presentar los siguientes documentos? </w:t>
            </w:r>
          </w:p>
          <w:p w14:paraId="72DA0948" w14:textId="77777777" w:rsidR="00F9265B" w:rsidRPr="00875A76" w:rsidRDefault="00F9265B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A305D8" w14:textId="77777777" w:rsidR="00F9265B" w:rsidRPr="00875A76" w:rsidRDefault="00F9265B" w:rsidP="000858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75A76">
              <w:rPr>
                <w:rFonts w:ascii="Arial" w:hAnsi="Arial" w:cs="Arial"/>
                <w:sz w:val="16"/>
                <w:szCs w:val="16"/>
              </w:rPr>
              <w:t>Carta de respaldo del fabricante</w:t>
            </w:r>
          </w:p>
          <w:p w14:paraId="5623FE84" w14:textId="77777777" w:rsidR="00F9265B" w:rsidRPr="00875A76" w:rsidRDefault="00F9265B" w:rsidP="000858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75A76">
              <w:rPr>
                <w:rFonts w:ascii="Arial" w:hAnsi="Arial" w:cs="Arial"/>
                <w:sz w:val="16"/>
                <w:szCs w:val="16"/>
              </w:rPr>
              <w:t>Certificación emitida por la Asociación Nacional de Fabricantes de Pinturas y Tintas A.C (ANAFAPYT)</w:t>
            </w:r>
          </w:p>
          <w:p w14:paraId="3DE7FFFF" w14:textId="77777777" w:rsidR="00F9265B" w:rsidRPr="00875A76" w:rsidRDefault="00F9265B" w:rsidP="000858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75A76">
              <w:rPr>
                <w:rFonts w:ascii="Arial" w:hAnsi="Arial" w:cs="Arial"/>
                <w:sz w:val="16"/>
                <w:szCs w:val="16"/>
              </w:rPr>
              <w:t>Ficha técnica del producto, señalando debidamente a que partida corresponde</w:t>
            </w:r>
          </w:p>
          <w:p w14:paraId="08549EA6" w14:textId="77777777" w:rsidR="00F9265B" w:rsidRPr="00875A76" w:rsidRDefault="00F9265B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5704F2" w14:textId="77777777" w:rsidR="00A27B8B" w:rsidRPr="00875A76" w:rsidRDefault="00A27B8B" w:rsidP="00085848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</w:rPr>
              <w:t xml:space="preserve">R: Para la partida 10, se deberá presentar la propuesta conforme a lo establecido en la convocatoria, las características se revisarán del análisis que se realice del Anexo “1”, ficha técnica debidamente referenciada y carta de respaldo del fabricante. </w:t>
            </w:r>
          </w:p>
          <w:p w14:paraId="72658C0E" w14:textId="77777777" w:rsidR="00A27B8B" w:rsidRPr="00875A76" w:rsidRDefault="00A27B8B" w:rsidP="00085848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CBAF49D" w14:textId="6BDEEA1C" w:rsidR="00A27B8B" w:rsidRPr="00875A76" w:rsidRDefault="00A27B8B" w:rsidP="00085848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>La partida 10, debe</w:t>
            </w:r>
            <w:r w:rsidR="004360DC" w:rsidRPr="00875A76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Pr="00875A76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>contar con certificación de la Secretaria de Comunicación y Trasportes y/o del Instituto Mexicano del Petróleo, lo cual se validará con la ficha técnica del producto (favor de señalarlo claramente).</w:t>
            </w:r>
            <w:r w:rsidR="000F4D64" w:rsidRPr="00875A76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 xml:space="preserve"> Favor de considerar la aclaración hecha por la convocante. </w:t>
            </w:r>
          </w:p>
          <w:p w14:paraId="6B470ADE" w14:textId="77777777" w:rsidR="00A27B8B" w:rsidRPr="00875A76" w:rsidRDefault="00A27B8B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265B" w:rsidRPr="00085848" w14:paraId="57B6440F" w14:textId="77777777" w:rsidTr="00875A76">
        <w:trPr>
          <w:trHeight w:val="220"/>
        </w:trPr>
        <w:tc>
          <w:tcPr>
            <w:tcW w:w="905" w:type="dxa"/>
            <w:shd w:val="clear" w:color="auto" w:fill="auto"/>
            <w:vAlign w:val="center"/>
          </w:tcPr>
          <w:p w14:paraId="7851D826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6DE23EF" w14:textId="77777777" w:rsidR="00F9265B" w:rsidRPr="00875A76" w:rsidRDefault="00F9265B" w:rsidP="00085848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>Apartado X, No. 6.1</w:t>
            </w:r>
          </w:p>
        </w:tc>
        <w:tc>
          <w:tcPr>
            <w:tcW w:w="5988" w:type="dxa"/>
            <w:shd w:val="clear" w:color="auto" w:fill="auto"/>
          </w:tcPr>
          <w:p w14:paraId="43158B06" w14:textId="77777777" w:rsidR="00F9265B" w:rsidRPr="00875A76" w:rsidRDefault="00F9265B" w:rsidP="00CB227C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75A76">
              <w:rPr>
                <w:rFonts w:ascii="Arial" w:eastAsia="Calibri" w:hAnsi="Arial" w:cs="Arial"/>
                <w:sz w:val="16"/>
                <w:szCs w:val="16"/>
              </w:rPr>
              <w:t>Para la partida 5 y 6, compartiríamos la misma certificación de la partida No. 10, emitida por la Asociación Nacional de Fabricantes de Pinturas y Tintas A.C (ANAFAPYT), ¿Es necesario anexar dos copias? O ¿Es posible anexar una sola copia, señalando debidamente que la certificación aplica para las partidas No. 5, 6 y 10?</w:t>
            </w:r>
          </w:p>
          <w:p w14:paraId="2C83411E" w14:textId="77777777" w:rsidR="009D3FFA" w:rsidRPr="00875A76" w:rsidRDefault="009D3FFA" w:rsidP="0008584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65F0DE" w14:textId="7CB64F2B" w:rsidR="009D3FFA" w:rsidRPr="00875A76" w:rsidRDefault="009D3FFA" w:rsidP="00085848">
            <w:pPr>
              <w:pStyle w:val="Default"/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5A76">
              <w:rPr>
                <w:rFonts w:ascii="Arial" w:hAnsi="Arial" w:cs="Arial"/>
                <w:b/>
                <w:sz w:val="16"/>
                <w:szCs w:val="16"/>
              </w:rPr>
              <w:t xml:space="preserve">R: </w:t>
            </w:r>
            <w:r w:rsidRPr="00875A76">
              <w:rPr>
                <w:rFonts w:ascii="Arial" w:hAnsi="Arial" w:cs="Arial"/>
                <w:b/>
                <w:color w:val="auto"/>
                <w:sz w:val="16"/>
                <w:szCs w:val="16"/>
                <w:lang w:eastAsia="es-ES"/>
              </w:rPr>
              <w:t>Para la partida 5 y 6, se d</w:t>
            </w:r>
            <w:r w:rsidRPr="00875A76">
              <w:rPr>
                <w:rFonts w:ascii="Arial" w:hAnsi="Arial" w:cs="Arial"/>
                <w:b/>
                <w:sz w:val="16"/>
                <w:szCs w:val="16"/>
              </w:rPr>
              <w:t xml:space="preserve">eberá agregar la o las certificaciones correspondientes expedidas por organismos nacionales de certificación que cuente con acreditación EMA o la Asocian Nacional de Fabricación de Pinturas, para corroborar la característica de </w:t>
            </w:r>
            <w:proofErr w:type="spellStart"/>
            <w:r w:rsidRPr="00875A76">
              <w:rPr>
                <w:rFonts w:ascii="Arial" w:hAnsi="Arial" w:cs="Arial"/>
                <w:b/>
                <w:sz w:val="16"/>
                <w:szCs w:val="16"/>
              </w:rPr>
              <w:t>lavabilidad</w:t>
            </w:r>
            <w:proofErr w:type="spellEnd"/>
            <w:r w:rsidRPr="00875A76">
              <w:rPr>
                <w:rFonts w:ascii="Arial" w:hAnsi="Arial" w:cs="Arial"/>
                <w:b/>
                <w:sz w:val="16"/>
                <w:szCs w:val="16"/>
              </w:rPr>
              <w:t>, se solicita indicar para que partidas aplic</w:t>
            </w:r>
            <w:r w:rsidR="000F4D64" w:rsidRPr="00875A76">
              <w:rPr>
                <w:rFonts w:ascii="Arial" w:hAnsi="Arial" w:cs="Arial"/>
                <w:b/>
                <w:sz w:val="16"/>
                <w:szCs w:val="16"/>
              </w:rPr>
              <w:t xml:space="preserve">a la documentación presentada. Favor de considerar la aclaración hecha por la convocante. </w:t>
            </w:r>
          </w:p>
          <w:p w14:paraId="7ABA4A03" w14:textId="2F7E1DC3" w:rsidR="00F9265B" w:rsidRPr="00875A76" w:rsidRDefault="00F9265B" w:rsidP="000F4D64">
            <w:pPr>
              <w:pStyle w:val="Encabezado"/>
              <w:tabs>
                <w:tab w:val="left" w:pos="7770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3B99559" w14:textId="77777777" w:rsidR="004D1B0C" w:rsidRPr="006E6ECF" w:rsidRDefault="004D1B0C" w:rsidP="004D1B0C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01A331C8" w14:textId="4972602C" w:rsidR="007D7EBE" w:rsidRPr="006E6ECF" w:rsidRDefault="007D7EBE" w:rsidP="009F78A6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6B1BC953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E004CF">
        <w:rPr>
          <w:rFonts w:ascii="Arial" w:hAnsi="Arial" w:cs="Arial"/>
          <w:b/>
          <w:sz w:val="18"/>
          <w:szCs w:val="18"/>
          <w:lang w:val="es-MX"/>
        </w:rPr>
        <w:t>03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E004CF">
        <w:rPr>
          <w:rFonts w:ascii="Arial" w:hAnsi="Arial" w:cs="Arial"/>
          <w:b/>
          <w:sz w:val="18"/>
          <w:szCs w:val="18"/>
          <w:lang w:val="es-MX"/>
        </w:rPr>
        <w:t>junio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243C53">
        <w:rPr>
          <w:rFonts w:ascii="Arial" w:hAnsi="Arial" w:cs="Arial"/>
          <w:b/>
          <w:sz w:val="18"/>
          <w:szCs w:val="18"/>
          <w:lang w:val="es-MX"/>
        </w:rPr>
        <w:t>10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lastRenderedPageBreak/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12507D">
        <w:tc>
          <w:tcPr>
            <w:tcW w:w="4489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12507D">
        <w:tc>
          <w:tcPr>
            <w:tcW w:w="4489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2C4B489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12507D">
        <w:tc>
          <w:tcPr>
            <w:tcW w:w="4489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12507D">
        <w:tc>
          <w:tcPr>
            <w:tcW w:w="4489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62BB4" w:rsidRPr="00C55D7D" w14:paraId="5BD9C635" w14:textId="77777777" w:rsidTr="0012507D">
        <w:tc>
          <w:tcPr>
            <w:tcW w:w="4489" w:type="dxa"/>
          </w:tcPr>
          <w:p w14:paraId="530F05F8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0264D6F6" w14:textId="77777777" w:rsidR="00BB498A" w:rsidRPr="00C55D7D" w:rsidRDefault="00BB498A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Roberto Alejandro Ortega Martínez</w:t>
            </w:r>
          </w:p>
          <w:p w14:paraId="71974300" w14:textId="77777777" w:rsidR="00662BB4" w:rsidRPr="005C675E" w:rsidRDefault="00BB498A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Jefe del Departamento de Mantenimiento de la DGIU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89" w:type="dxa"/>
          </w:tcPr>
          <w:p w14:paraId="3689A8D2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166AAD" w:rsidRPr="00C55D7D" w:rsidRDefault="00166AAD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0C7650B0" w14:textId="77777777" w:rsidTr="0012507D">
        <w:tc>
          <w:tcPr>
            <w:tcW w:w="4489" w:type="dxa"/>
          </w:tcPr>
          <w:p w14:paraId="4C95C096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0A1276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2572F5C9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464BED58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69DD3430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2812DE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68AB0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A92F9E0" w14:textId="77777777" w:rsidTr="0012507D">
        <w:tc>
          <w:tcPr>
            <w:tcW w:w="4489" w:type="dxa"/>
          </w:tcPr>
          <w:p w14:paraId="3202304D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</w:t>
            </w:r>
            <w:r w:rsidR="004633E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Arnoldo Rodríguez Romo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56A391B4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8D73C0E" w14:textId="77777777" w:rsidTr="0012507D">
        <w:tc>
          <w:tcPr>
            <w:tcW w:w="4489" w:type="dxa"/>
          </w:tcPr>
          <w:p w14:paraId="3388DF51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4EBF135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</w:p>
          <w:p w14:paraId="0A913C6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0C5D23F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89" w:type="dxa"/>
          </w:tcPr>
          <w:p w14:paraId="401F642C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52C90D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F7A73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77777777" w:rsidR="00437DD9" w:rsidRPr="00454F58" w:rsidRDefault="0040188C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 de los</w:t>
      </w:r>
      <w:r w:rsidR="00437DD9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5"/>
        <w:gridCol w:w="4453"/>
      </w:tblGrid>
      <w:tr w:rsidR="0040188C" w:rsidRPr="00C55D7D" w14:paraId="3A89AB20" w14:textId="77777777" w:rsidTr="00924155">
        <w:tc>
          <w:tcPr>
            <w:tcW w:w="4375" w:type="dxa"/>
          </w:tcPr>
          <w:p w14:paraId="4B295D75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CF31F5C" w14:textId="1B473EFF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B7510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Juan Carlos Ramos Gutiérrez</w:t>
            </w:r>
          </w:p>
          <w:p w14:paraId="6606B555" w14:textId="3958EEF1" w:rsidR="0040188C" w:rsidRPr="00C55D7D" w:rsidRDefault="00924155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24155">
              <w:rPr>
                <w:rFonts w:ascii="Arial" w:hAnsi="Arial" w:cs="Arial"/>
                <w:sz w:val="16"/>
                <w:szCs w:val="16"/>
                <w:lang w:val="es-ES"/>
              </w:rPr>
              <w:t>JUAN CARLOS RAMOS GUTIÉRREZ</w:t>
            </w:r>
          </w:p>
          <w:p w14:paraId="2A675E77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5A9FB3E0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C47E8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5E47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454F58" w:rsidRPr="00C55D7D" w14:paraId="623D0A53" w14:textId="77777777" w:rsidTr="00924155">
        <w:tc>
          <w:tcPr>
            <w:tcW w:w="4375" w:type="dxa"/>
          </w:tcPr>
          <w:p w14:paraId="4E76D001" w14:textId="77777777" w:rsidR="00454F58" w:rsidRPr="00C55D7D" w:rsidRDefault="00454F58" w:rsidP="00454F5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3F1686FD" w14:textId="72F8BFD6" w:rsidR="00454F58" w:rsidRPr="00C55D7D" w:rsidRDefault="00454F58" w:rsidP="00454F5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924155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Luis Omar Ovalle Soltero</w:t>
            </w:r>
            <w:bookmarkStart w:id="0" w:name="_GoBack"/>
            <w:bookmarkEnd w:id="0"/>
          </w:p>
          <w:p w14:paraId="5E455C78" w14:textId="422C4E19" w:rsidR="00454F58" w:rsidRPr="00C55D7D" w:rsidRDefault="00924155" w:rsidP="00454F5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JANETT OVALLE SOLTERO</w:t>
            </w:r>
          </w:p>
          <w:p w14:paraId="25F94927" w14:textId="77777777" w:rsidR="00454F58" w:rsidRPr="00C55D7D" w:rsidRDefault="00454F58" w:rsidP="00454F5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677823AC" w14:textId="77777777" w:rsidR="00454F58" w:rsidRPr="00C55D7D" w:rsidRDefault="00454F58" w:rsidP="00454F5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6FD7AC5" w14:textId="77777777" w:rsidR="00454F58" w:rsidRPr="00C55D7D" w:rsidRDefault="00454F58" w:rsidP="00454F5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55B7FA7" w14:textId="77777777" w:rsidR="00454F58" w:rsidRPr="00C55D7D" w:rsidRDefault="00454F58" w:rsidP="00454F5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2361DA28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E004CF">
        <w:rPr>
          <w:rFonts w:ascii="Arial" w:hAnsi="Arial" w:cs="Arial"/>
          <w:sz w:val="18"/>
          <w:szCs w:val="18"/>
          <w:lang w:val="es-MX"/>
        </w:rPr>
        <w:t>2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924155">
        <w:rPr>
          <w:rFonts w:ascii="Arial" w:hAnsi="Arial" w:cs="Arial"/>
          <w:sz w:val="18"/>
          <w:szCs w:val="18"/>
          <w:lang w:val="es-ES"/>
        </w:rPr>
        <w:t>11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.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E3775E">
      <w:rPr>
        <w:rFonts w:ascii="Tahoma" w:hAnsi="Tahoma" w:cs="Tahoma"/>
        <w:snapToGrid w:val="0"/>
        <w:sz w:val="12"/>
        <w:szCs w:val="12"/>
      </w:rPr>
      <w:t>1</w:t>
    </w:r>
    <w:r w:rsidR="00D07BA4">
      <w:rPr>
        <w:rFonts w:ascii="Tahoma" w:hAnsi="Tahoma" w:cs="Tahoma"/>
        <w:snapToGrid w:val="0"/>
        <w:sz w:val="12"/>
        <w:szCs w:val="12"/>
      </w:rPr>
      <w:t>7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0523521E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4360DC">
      <w:rPr>
        <w:rFonts w:ascii="Tahoma" w:hAnsi="Tahoma" w:cs="Tahoma"/>
        <w:noProof/>
        <w:snapToGrid w:val="0"/>
        <w:sz w:val="12"/>
        <w:szCs w:val="12"/>
      </w:rPr>
      <w:t>4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4360DC">
      <w:rPr>
        <w:rFonts w:ascii="Tahoma" w:hAnsi="Tahoma" w:cs="Tahoma"/>
        <w:noProof/>
        <w:snapToGrid w:val="0"/>
        <w:sz w:val="12"/>
        <w:szCs w:val="12"/>
      </w:rPr>
      <w:t>5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77777777" w:rsidR="00EE6DDD" w:rsidRPr="008801F1" w:rsidRDefault="00EE6DDD" w:rsidP="00D07BA4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775E">
            <w:rPr>
              <w:rFonts w:ascii="Arial" w:hAnsi="Arial" w:cs="Arial"/>
              <w:b/>
              <w:sz w:val="18"/>
              <w:szCs w:val="18"/>
            </w:rPr>
            <w:t>1</w:t>
          </w:r>
          <w:r w:rsidR="00D07BA4">
            <w:rPr>
              <w:rFonts w:ascii="Arial" w:hAnsi="Arial" w:cs="Arial"/>
              <w:b/>
              <w:sz w:val="18"/>
              <w:szCs w:val="18"/>
            </w:rPr>
            <w:t>7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77777777" w:rsidR="00EE6DDD" w:rsidRPr="009B5489" w:rsidRDefault="00D07BA4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D07BA4">
            <w:rPr>
              <w:rFonts w:ascii="Arial" w:hAnsi="Arial" w:cs="Arial"/>
              <w:b/>
              <w:sz w:val="18"/>
              <w:szCs w:val="18"/>
            </w:rPr>
            <w:t>ADQUISICIÓN DE MATERIALES (SEGUNDA) PARA EL ALMACÉN DEL DEPARTAMENTO DE MANTENIMIENTO DE LA DGIU DE LA UNIVERSIDAD AUTÓNOMA 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13CD"/>
    <w:rsid w:val="000E1457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930"/>
    <w:rsid w:val="00224E4E"/>
    <w:rsid w:val="002267B8"/>
    <w:rsid w:val="002300C8"/>
    <w:rsid w:val="00230A3E"/>
    <w:rsid w:val="0023118D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A04BA"/>
    <w:rsid w:val="002A0911"/>
    <w:rsid w:val="002A09DA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736E"/>
    <w:rsid w:val="003A01C5"/>
    <w:rsid w:val="003A09B4"/>
    <w:rsid w:val="003A0A55"/>
    <w:rsid w:val="003A1D00"/>
    <w:rsid w:val="003A1F36"/>
    <w:rsid w:val="003A2A07"/>
    <w:rsid w:val="003A318E"/>
    <w:rsid w:val="003A35C5"/>
    <w:rsid w:val="003A367B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52DA"/>
    <w:rsid w:val="003E6218"/>
    <w:rsid w:val="003E672C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2CC"/>
    <w:rsid w:val="00533E34"/>
    <w:rsid w:val="005348B6"/>
    <w:rsid w:val="00535567"/>
    <w:rsid w:val="00536602"/>
    <w:rsid w:val="005408B5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F008B"/>
    <w:rsid w:val="005F19D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1EF"/>
    <w:rsid w:val="007F55C2"/>
    <w:rsid w:val="007F62C8"/>
    <w:rsid w:val="007F6A6E"/>
    <w:rsid w:val="007F6BA1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EE4"/>
    <w:rsid w:val="009A79EE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DC"/>
    <w:rsid w:val="00A95545"/>
    <w:rsid w:val="00A9588C"/>
    <w:rsid w:val="00A96781"/>
    <w:rsid w:val="00A96953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CD0"/>
    <w:rsid w:val="00BA6E2C"/>
    <w:rsid w:val="00BA7724"/>
    <w:rsid w:val="00BB0A5F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6137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762D"/>
    <w:rsid w:val="00CE0728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3450-E712-4A20-9002-C5CA8FB0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17</TotalTime>
  <Pages>4</Pages>
  <Words>1610</Words>
  <Characters>12336</Characters>
  <Application>Microsoft Office Word</Application>
  <DocSecurity>0</DocSecurity>
  <Lines>102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13919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12</cp:revision>
  <cp:lastPrinted>2022-05-30T17:03:00Z</cp:lastPrinted>
  <dcterms:created xsi:type="dcterms:W3CDTF">2022-05-30T16:15:00Z</dcterms:created>
  <dcterms:modified xsi:type="dcterms:W3CDTF">2022-05-30T17:12:00Z</dcterms:modified>
</cp:coreProperties>
</file>