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31BF1DD3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D42BE">
        <w:rPr>
          <w:rFonts w:ascii="Arial" w:hAnsi="Arial" w:cs="Arial"/>
          <w:sz w:val="18"/>
          <w:szCs w:val="18"/>
          <w:lang w:val="es-MX"/>
        </w:rPr>
        <w:t>15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D42BE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395AA7">
        <w:rPr>
          <w:rFonts w:ascii="Arial" w:hAnsi="Arial" w:cs="Arial"/>
          <w:sz w:val="18"/>
          <w:szCs w:val="18"/>
          <w:lang w:val="es-MX"/>
        </w:rPr>
        <w:t>14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E76269">
        <w:rPr>
          <w:rFonts w:ascii="Arial" w:hAnsi="Arial" w:cs="Arial"/>
          <w:sz w:val="18"/>
          <w:szCs w:val="18"/>
          <w:lang w:val="es-MX"/>
        </w:rPr>
        <w:t>septiembre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 de los Estados Unidos Mexicanos,</w:t>
      </w:r>
      <w:r w:rsidR="00AB57E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6D2C67">
        <w:rPr>
          <w:rFonts w:ascii="Arial" w:hAnsi="Arial" w:cs="Arial"/>
          <w:b w:val="0"/>
          <w:sz w:val="18"/>
          <w:szCs w:val="18"/>
          <w:lang w:val="es-MX"/>
        </w:rPr>
        <w:t>el artículo 54 fracción III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</w:t>
      </w:r>
      <w:bookmarkStart w:id="0" w:name="_GoBack"/>
      <w:bookmarkEnd w:id="0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E3479B">
        <w:rPr>
          <w:rFonts w:ascii="Arial" w:hAnsi="Arial" w:cs="Arial"/>
          <w:sz w:val="18"/>
          <w:szCs w:val="18"/>
          <w:lang w:val="es-MX"/>
        </w:rPr>
        <w:t>12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E76269" w:rsidRPr="00E76269">
        <w:rPr>
          <w:rFonts w:ascii="Arial" w:hAnsi="Arial" w:cs="Arial"/>
          <w:sz w:val="18"/>
          <w:szCs w:val="18"/>
          <w:lang w:val="es-MX"/>
        </w:rPr>
        <w:t xml:space="preserve">de </w:t>
      </w:r>
      <w:r w:rsidR="00E3479B" w:rsidRPr="00E3479B">
        <w:rPr>
          <w:rFonts w:ascii="Arial" w:hAnsi="Arial" w:cs="Arial"/>
          <w:sz w:val="18"/>
          <w:szCs w:val="18"/>
          <w:lang w:val="es-MX"/>
        </w:rPr>
        <w:t>Adquisición de Materiales, equipos y servicio de mantenimientos preventivos, Depto. de Mantenimiento de la DGIU de la Universidad Autónoma de Aguascalientes</w:t>
      </w:r>
      <w:r w:rsidR="00B87DE6" w:rsidRPr="00B87DE6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E3479B" w:rsidRPr="00E3479B">
        <w:rPr>
          <w:rFonts w:ascii="Arial" w:hAnsi="Arial" w:cs="Arial"/>
          <w:sz w:val="18"/>
          <w:szCs w:val="18"/>
          <w:lang w:val="es-MX"/>
        </w:rPr>
        <w:t>Fondo Ordinario Estatal, Inversión Pública Productiva 2021-2022, Programa Docencia, Investigación y Vinculación de Calidad, conforme a los oficios DGF/DPAF-185/2022, DGF/DPAF-198/2022, DGF/DPAF-199/2022, DGF/DPAF-207/2022 y DGF/DPAF-208/2022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</w:t>
      </w:r>
      <w:r w:rsidR="00E3479B">
        <w:rPr>
          <w:rFonts w:ascii="Arial" w:hAnsi="Arial" w:cs="Arial"/>
          <w:color w:val="000000"/>
          <w:sz w:val="18"/>
          <w:szCs w:val="18"/>
        </w:rPr>
        <w:t>------------------------------------------------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</w:p>
    <w:p w14:paraId="75DA5BA9" w14:textId="2FAEE498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E3479B" w:rsidRPr="00E3479B">
        <w:rPr>
          <w:rFonts w:ascii="Arial" w:hAnsi="Arial" w:cs="Arial"/>
          <w:b/>
          <w:sz w:val="18"/>
          <w:szCs w:val="18"/>
        </w:rPr>
        <w:t xml:space="preserve">Depto. de Mantenimiento de la DGIU </w:t>
      </w:r>
      <w:r w:rsidR="00E76269" w:rsidRPr="00E76269">
        <w:rPr>
          <w:rFonts w:ascii="Arial" w:hAnsi="Arial" w:cs="Arial"/>
          <w:b/>
          <w:sz w:val="18"/>
          <w:szCs w:val="18"/>
        </w:rPr>
        <w:t>de la Universidad Autónoma de Aguascalientes</w:t>
      </w:r>
      <w:r w:rsidR="00E07554">
        <w:rPr>
          <w:rFonts w:ascii="Arial" w:hAnsi="Arial" w:cs="Arial"/>
          <w:b/>
          <w:sz w:val="18"/>
          <w:szCs w:val="18"/>
        </w:rPr>
        <w:t xml:space="preserve">. </w:t>
      </w:r>
      <w:r w:rsidR="00E9040C"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---------------------------------------------------------------------</w:t>
      </w:r>
      <w:r w:rsidR="00E3479B">
        <w:rPr>
          <w:rFonts w:ascii="Arial" w:hAnsi="Arial" w:cs="Arial"/>
          <w:sz w:val="18"/>
          <w:szCs w:val="18"/>
        </w:rPr>
        <w:t>--------</w:t>
      </w:r>
      <w:r w:rsidR="00E76269">
        <w:rPr>
          <w:rFonts w:ascii="Arial" w:hAnsi="Arial" w:cs="Arial"/>
          <w:sz w:val="18"/>
          <w:szCs w:val="18"/>
        </w:rPr>
        <w:t>--------</w:t>
      </w:r>
    </w:p>
    <w:p w14:paraId="54FB6B83" w14:textId="7777777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47840020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E3479B" w:rsidRPr="001C298D">
        <w:rPr>
          <w:rFonts w:ascii="Arial" w:hAnsi="Arial" w:cs="Arial"/>
          <w:b/>
          <w:sz w:val="18"/>
          <w:szCs w:val="18"/>
        </w:rPr>
        <w:t>12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E3479B" w:rsidRPr="001C298D">
        <w:rPr>
          <w:rFonts w:ascii="Arial" w:hAnsi="Arial" w:cs="Arial"/>
          <w:b/>
          <w:sz w:val="18"/>
          <w:szCs w:val="18"/>
        </w:rPr>
        <w:t>septiembre</w:t>
      </w:r>
      <w:r w:rsidRPr="001C298D">
        <w:rPr>
          <w:rFonts w:ascii="Arial" w:hAnsi="Arial" w:cs="Arial"/>
          <w:b/>
          <w:sz w:val="18"/>
          <w:szCs w:val="18"/>
        </w:rPr>
        <w:t xml:space="preserve"> de 20</w:t>
      </w:r>
      <w:r w:rsidR="00A43D99" w:rsidRPr="001C298D">
        <w:rPr>
          <w:rFonts w:ascii="Arial" w:hAnsi="Arial" w:cs="Arial"/>
          <w:b/>
          <w:sz w:val="18"/>
          <w:szCs w:val="18"/>
        </w:rPr>
        <w:t>22</w:t>
      </w:r>
      <w:r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1C298D">
        <w:rPr>
          <w:rFonts w:ascii="Arial" w:hAnsi="Arial" w:cs="Arial"/>
          <w:b/>
          <w:sz w:val="18"/>
          <w:szCs w:val="18"/>
        </w:rPr>
        <w:t>0</w:t>
      </w:r>
      <w:r w:rsidR="001C298D" w:rsidRPr="001C298D">
        <w:rPr>
          <w:rFonts w:ascii="Arial" w:hAnsi="Arial" w:cs="Arial"/>
          <w:b/>
          <w:sz w:val="18"/>
          <w:szCs w:val="18"/>
        </w:rPr>
        <w:t>4</w:t>
      </w:r>
      <w:r w:rsidR="00116F58" w:rsidRPr="001C298D">
        <w:rPr>
          <w:rFonts w:ascii="Arial" w:hAnsi="Arial" w:cs="Arial"/>
          <w:b/>
          <w:sz w:val="18"/>
          <w:szCs w:val="18"/>
        </w:rPr>
        <w:t xml:space="preserve"> (</w:t>
      </w:r>
      <w:r w:rsidR="001C298D" w:rsidRPr="001C298D">
        <w:rPr>
          <w:rFonts w:ascii="Arial" w:hAnsi="Arial" w:cs="Arial"/>
          <w:b/>
          <w:sz w:val="18"/>
          <w:szCs w:val="18"/>
        </w:rPr>
        <w:t>cuatro</w:t>
      </w:r>
      <w:r w:rsidR="00116F58" w:rsidRPr="001C298D">
        <w:rPr>
          <w:rFonts w:ascii="Arial" w:hAnsi="Arial" w:cs="Arial"/>
          <w:b/>
          <w:sz w:val="18"/>
          <w:szCs w:val="18"/>
        </w:rPr>
        <w:t>)</w:t>
      </w:r>
      <w:r w:rsidRPr="001C298D">
        <w:rPr>
          <w:rFonts w:ascii="Arial" w:hAnsi="Arial" w:cs="Arial"/>
          <w:b/>
          <w:sz w:val="18"/>
          <w:szCs w:val="18"/>
        </w:rPr>
        <w:t xml:space="preserve"> propuesta</w:t>
      </w:r>
      <w:r w:rsidR="009C2B0B" w:rsidRPr="001C298D">
        <w:rPr>
          <w:rFonts w:ascii="Arial" w:hAnsi="Arial" w:cs="Arial"/>
          <w:b/>
          <w:sz w:val="18"/>
          <w:szCs w:val="18"/>
        </w:rPr>
        <w:t>s</w:t>
      </w:r>
      <w:r w:rsidR="00B45AE0"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>presentada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s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los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1C298D">
        <w:rPr>
          <w:rFonts w:ascii="Arial" w:hAnsi="Arial" w:cs="Arial"/>
          <w:color w:val="000000"/>
          <w:sz w:val="18"/>
          <w:szCs w:val="18"/>
        </w:rPr>
        <w:t>proveedores</w:t>
      </w:r>
      <w:r w:rsidRPr="001C298D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1C298D">
        <w:rPr>
          <w:rFonts w:ascii="Arial" w:hAnsi="Arial" w:cs="Arial"/>
          <w:color w:val="000000"/>
          <w:sz w:val="18"/>
          <w:szCs w:val="18"/>
        </w:rPr>
        <w:t>-</w:t>
      </w: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</w:t>
      </w:r>
      <w:r w:rsidR="00116F58" w:rsidRPr="001C298D">
        <w:rPr>
          <w:rFonts w:ascii="Arial" w:hAnsi="Arial" w:cs="Arial"/>
          <w:sz w:val="18"/>
          <w:szCs w:val="18"/>
        </w:rPr>
        <w:t>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1C298D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1FE2FD59" w:rsidR="001C298D" w:rsidRPr="001C298D" w:rsidRDefault="001C298D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EDGAR JESÚS AVIÑA LÓPEZ</w:t>
            </w:r>
          </w:p>
        </w:tc>
      </w:tr>
      <w:tr w:rsidR="001C298D" w:rsidRPr="001C298D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7DFAA22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2A70A873" w14:textId="32B0B898" w:rsidR="001C298D" w:rsidRPr="001C298D" w:rsidRDefault="001C298D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ACEROS SAN MARCOS AG, S.A. DE C.V.</w:t>
            </w:r>
          </w:p>
        </w:tc>
      </w:tr>
      <w:tr w:rsidR="001C298D" w:rsidRPr="001C298D" w14:paraId="187DBB7D" w14:textId="77777777" w:rsidTr="0093022D">
        <w:trPr>
          <w:trHeight w:val="246"/>
        </w:trPr>
        <w:tc>
          <w:tcPr>
            <w:tcW w:w="154" w:type="pct"/>
            <w:noWrap/>
          </w:tcPr>
          <w:p w14:paraId="7563868B" w14:textId="35F3593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846" w:type="pct"/>
            <w:noWrap/>
            <w:vAlign w:val="center"/>
          </w:tcPr>
          <w:p w14:paraId="062D7211" w14:textId="4E25BE9F" w:rsidR="001C298D" w:rsidRPr="001C298D" w:rsidRDefault="001C298D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LETREROS Y GRÁFICOS, S.A. DE C.V.</w:t>
            </w:r>
          </w:p>
        </w:tc>
      </w:tr>
      <w:tr w:rsidR="001C298D" w:rsidRPr="001C298D" w14:paraId="71D83D7E" w14:textId="77777777" w:rsidTr="0093022D">
        <w:trPr>
          <w:trHeight w:val="246"/>
        </w:trPr>
        <w:tc>
          <w:tcPr>
            <w:tcW w:w="154" w:type="pct"/>
            <w:noWrap/>
          </w:tcPr>
          <w:p w14:paraId="5FA864F8" w14:textId="295BF5E2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846" w:type="pct"/>
            <w:noWrap/>
            <w:vAlign w:val="center"/>
          </w:tcPr>
          <w:p w14:paraId="5A3657EE" w14:textId="62A87CA7" w:rsidR="001C298D" w:rsidRPr="001C298D" w:rsidRDefault="001C298D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JORGE ARMANDO ALBERTOS GONZÁLEZ</w:t>
            </w:r>
          </w:p>
        </w:tc>
      </w:tr>
    </w:tbl>
    <w:p w14:paraId="31A08486" w14:textId="07C4079B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3FF6F090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>
        <w:rPr>
          <w:rFonts w:ascii="Arial" w:hAnsi="Arial" w:cs="Arial"/>
          <w:b/>
          <w:i/>
          <w:sz w:val="18"/>
          <w:szCs w:val="18"/>
        </w:rPr>
        <w:t xml:space="preserve">por partida individual </w:t>
      </w:r>
      <w:r w:rsidR="00140624" w:rsidRPr="00140624">
        <w:rPr>
          <w:rFonts w:ascii="Arial" w:hAnsi="Arial" w:cs="Arial"/>
          <w:b/>
          <w:i/>
          <w:sz w:val="18"/>
          <w:szCs w:val="18"/>
        </w:rPr>
        <w:t>total a un solo licitante a quien oferte la propuesta solvente con precio más bajo y económico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60442BAC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3362356A" w14:textId="102A3A15" w:rsidR="00EA0CF0" w:rsidRDefault="001C298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bookmarkStart w:id="1" w:name="RANGE!A1:J12"/>
      <w:bookmarkEnd w:id="1"/>
      <w:r w:rsidRPr="001C298D">
        <w:rPr>
          <w:noProof/>
          <w:lang w:val="en-US" w:eastAsia="en-US"/>
        </w:rPr>
        <w:lastRenderedPageBreak/>
        <w:drawing>
          <wp:inline distT="0" distB="0" distL="0" distR="0" wp14:anchorId="08A747C2" wp14:editId="49F954DA">
            <wp:extent cx="5609171" cy="343082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330" cy="344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63F9D05F" w:rsidR="008757CD" w:rsidRPr="002E089D" w:rsidRDefault="004D6ECF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="008757CD"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55A20B3B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convocatoria</w:t>
      </w:r>
      <w:r w:rsidRPr="002E089D">
        <w:rPr>
          <w:rFonts w:ascii="Arial" w:hAnsi="Arial" w:cs="Arial"/>
          <w:color w:val="000000"/>
          <w:sz w:val="16"/>
          <w:szCs w:val="16"/>
        </w:rPr>
        <w:t>:----------------------------------------------------------------------------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---------------------------</w:t>
      </w:r>
      <w:r w:rsidR="002E089D">
        <w:rPr>
          <w:rFonts w:ascii="Arial" w:hAnsi="Arial" w:cs="Arial"/>
          <w:color w:val="000000"/>
          <w:sz w:val="16"/>
          <w:szCs w:val="16"/>
        </w:rPr>
        <w:t>---------------------------------------------------------------------------------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</w:t>
      </w:r>
      <w:r w:rsidR="002E089D" w:rsidRPr="002E089D">
        <w:rPr>
          <w:rFonts w:ascii="Arial" w:hAnsi="Arial" w:cs="Arial"/>
          <w:color w:val="000000"/>
          <w:sz w:val="16"/>
          <w:szCs w:val="16"/>
        </w:rPr>
        <w:t>--</w:t>
      </w:r>
      <w:r w:rsidRPr="002E089D">
        <w:rPr>
          <w:rFonts w:ascii="Arial" w:hAnsi="Arial" w:cs="Arial"/>
          <w:sz w:val="16"/>
          <w:szCs w:val="16"/>
        </w:rPr>
        <w:t>-</w:t>
      </w:r>
    </w:p>
    <w:p w14:paraId="4A7D8E90" w14:textId="388025F5" w:rsidR="002E089D" w:rsidRPr="002E089D" w:rsidRDefault="002E089D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</w:t>
      </w:r>
      <w:r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78189A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78189A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78189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78189A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2E089D" w:rsidRPr="0082223B" w14:paraId="55A26E60" w14:textId="77777777" w:rsidTr="002E089D">
        <w:trPr>
          <w:trHeight w:val="1648"/>
          <w:jc w:val="center"/>
        </w:trPr>
        <w:tc>
          <w:tcPr>
            <w:tcW w:w="177" w:type="pct"/>
            <w:noWrap/>
          </w:tcPr>
          <w:p w14:paraId="683D2FB4" w14:textId="77777777" w:rsidR="002E089D" w:rsidRPr="002A74D5" w:rsidRDefault="002E089D" w:rsidP="0078189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noWrap/>
          </w:tcPr>
          <w:p w14:paraId="0E5BEA81" w14:textId="77777777" w:rsidR="002E089D" w:rsidRPr="00346929" w:rsidRDefault="002E089D" w:rsidP="0078189A">
            <w:pPr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6C2DCF">
              <w:rPr>
                <w:rFonts w:ascii="Arial" w:hAnsi="Arial" w:cs="Arial"/>
                <w:b/>
                <w:sz w:val="12"/>
                <w:szCs w:val="12"/>
              </w:rPr>
              <w:t>EDGAR JESÚS AVIÑA LÓPEZ</w:t>
            </w:r>
          </w:p>
        </w:tc>
        <w:tc>
          <w:tcPr>
            <w:tcW w:w="3976" w:type="pct"/>
          </w:tcPr>
          <w:p w14:paraId="77400FBB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partida: 1, 2 y 17</w:t>
            </w:r>
          </w:p>
          <w:p w14:paraId="6FA873F7" w14:textId="77777777" w:rsidR="002E089D" w:rsidRPr="00B87DE6" w:rsidRDefault="002E089D" w:rsidP="0078189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C75AE76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Pr="006C2DCF">
              <w:rPr>
                <w:rFonts w:ascii="Arial" w:hAnsi="Arial" w:cs="Arial"/>
                <w:i/>
                <w:sz w:val="12"/>
                <w:szCs w:val="12"/>
                <w:u w:val="single"/>
              </w:rPr>
              <w:t>EDGAR JESÚS AVIÑA LÓPEZ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9B2B5B7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7F206F3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3B01471C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B87DE6" w14:paraId="2789A563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B11C4CE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3B7DF30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FA11C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B87DE6" w14:paraId="705F9956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669A9E7B" w14:textId="77777777" w:rsidR="002E089D" w:rsidRPr="00B87DE6" w:rsidRDefault="002E089D" w:rsidP="0078189A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4BEB484" w14:textId="77777777" w:rsidR="002E089D" w:rsidRPr="00B87DE6" w:rsidRDefault="002E089D" w:rsidP="0078189A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3201202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5355E23F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8A6471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E3C019E" w14:textId="77777777" w:rsidR="002E089D" w:rsidRPr="00B87DE6" w:rsidRDefault="002E089D" w:rsidP="0078189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F16D794" w14:textId="77777777" w:rsidR="002E089D" w:rsidRPr="00C64905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58FFB0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6C2DC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EDGAR JESÚS AVIÑA LÓPEZ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2E089D" w:rsidRPr="00B87DE6" w14:paraId="1F3DE72A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D56687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5CB0224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81DE24A" w14:textId="77777777" w:rsidR="002E089D" w:rsidRPr="00B87DE6" w:rsidRDefault="002E089D" w:rsidP="0078189A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D7F081A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D669168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72E512F4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5915021E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15FF0CE5" w14:textId="77777777" w:rsidR="002E089D" w:rsidRDefault="002E089D" w:rsidP="0078189A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49E786B" w14:textId="77777777" w:rsidR="002E089D" w:rsidRPr="00C64905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7E7E88CB" w14:textId="77777777" w:rsidR="002E089D" w:rsidRDefault="002E089D" w:rsidP="0078189A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5D584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EDGAR JESÚS AVIÑA LÓPEZ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Constancia de situación fiscal, Acta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de Nacimiento.</w:t>
                  </w:r>
                </w:p>
                <w:p w14:paraId="5752D18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73A63017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DA010A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669ABF" w14:textId="77777777" w:rsidR="002E089D" w:rsidRPr="00B87DE6" w:rsidRDefault="002E089D" w:rsidP="0078189A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2D4B817B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lastRenderedPageBreak/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B31B55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62C68F1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0C2AFF5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7E50BA5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8FC70EA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7848EC9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lastRenderedPageBreak/>
                    <w:t>PRESENTA</w:t>
                  </w:r>
                </w:p>
                <w:p w14:paraId="53667D53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1DE2BDDC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lastRenderedPageBreak/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10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septiembre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E9A5932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225C9674" w14:textId="77777777" w:rsidR="002E089D" w:rsidRPr="00127626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  <w:r w:rsidRPr="0012762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12762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Pr="0012762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Presenta manifiesto bajo protesta de decir verdad no le es aplicable</w:t>
                  </w:r>
                  <w:r w:rsidRPr="001276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).</w:t>
                  </w:r>
                </w:p>
                <w:p w14:paraId="550497F6" w14:textId="77777777" w:rsidR="002E089D" w:rsidRPr="00127626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2C469E92" w14:textId="77777777" w:rsidR="002E089D" w:rsidRPr="0012762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12762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(Presenta manifiesto bajo protesta de decir verdad no le es aplicable).</w:t>
                  </w:r>
                </w:p>
                <w:p w14:paraId="2C3E1797" w14:textId="77777777" w:rsidR="002E089D" w:rsidRPr="005D5845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highlight w:val="yellow"/>
                      <w:u w:val="single"/>
                    </w:rPr>
                  </w:pPr>
                </w:p>
                <w:p w14:paraId="651BB972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36AA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Aguascalientes. </w:t>
                  </w:r>
                  <w:r w:rsidRPr="00936AA1"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  <w:t>(No presenta)</w:t>
                  </w:r>
                </w:p>
              </w:tc>
            </w:tr>
            <w:tr w:rsidR="002E089D" w:rsidRPr="00B87DE6" w14:paraId="78EDEF96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8FCEDA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FF5BA3" w14:textId="77777777" w:rsidR="002E089D" w:rsidRPr="0082223B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B6B38E8" w14:textId="77777777" w:rsidR="002E089D" w:rsidRDefault="002E089D" w:rsidP="0078189A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3B72FB11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5168C66" w14:textId="77777777" w:rsidR="002E089D" w:rsidRDefault="002E089D" w:rsidP="0078189A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1 y 2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2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años</w:t>
                  </w:r>
                </w:p>
                <w:p w14:paraId="0D14FB00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17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años</w:t>
                  </w:r>
                </w:p>
              </w:tc>
            </w:tr>
            <w:tr w:rsidR="002E089D" w:rsidRPr="00B87DE6" w14:paraId="0322EDC5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B0D3D5C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5F7D39B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7DAB57" w14:textId="77777777" w:rsidR="002E089D" w:rsidRPr="00B87DE6" w:rsidRDefault="002E089D" w:rsidP="0078189A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463DCACD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E0844C7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E43788F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D74F6DF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B2F7239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145C6C33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B99E8FF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8C6643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73BFA33" w14:textId="77777777" w:rsidR="002E089D" w:rsidRPr="00D61A1C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2FA328C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371EB4C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21E6EFB9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8AF8CBC" w14:textId="77777777" w:rsidR="002E089D" w:rsidRPr="00D72415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D7241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1B6E894" w14:textId="77777777" w:rsidR="002E089D" w:rsidRPr="00D72415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D72415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Muestra física (1, 2 y 17)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1055F44" w14:textId="77777777" w:rsidR="002E089D" w:rsidRPr="008329AF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329A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662483F3" w14:textId="77777777" w:rsidR="002E089D" w:rsidRPr="00D72415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highlight w:val="yellow"/>
                      <w:lang w:eastAsia="es-MX"/>
                    </w:rPr>
                  </w:pPr>
                  <w:r w:rsidRPr="008329A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Revisión técnica realizada por área </w:t>
                  </w:r>
                  <w:r w:rsidRPr="002E089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requirente.</w:t>
                  </w:r>
                </w:p>
              </w:tc>
            </w:tr>
            <w:tr w:rsidR="002E089D" w:rsidRPr="00B87DE6" w14:paraId="1B3F96EC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3875C02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E17D5C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7931AF2" w14:textId="77777777" w:rsidR="002E089D" w:rsidRPr="00253294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17D9EBE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2E089D" w:rsidRPr="00B87DE6" w14:paraId="095E00FD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8DA28A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1A17AEC" w14:textId="77777777" w:rsidR="002E089D" w:rsidRPr="00BD2B03" w:rsidRDefault="002E089D" w:rsidP="0078189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F59411" w14:textId="77777777" w:rsidR="002E089D" w:rsidRPr="00127626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12762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 (Manifiesto bajo protesto de decir verdad que es fabricante)</w:t>
                  </w:r>
                </w:p>
                <w:p w14:paraId="0A3E0BF9" w14:textId="77777777" w:rsidR="002E089D" w:rsidRPr="005B364E" w:rsidRDefault="002E089D" w:rsidP="0078189A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12762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22</w:t>
                  </w:r>
                </w:p>
              </w:tc>
            </w:tr>
            <w:tr w:rsidR="002E089D" w:rsidRPr="00B87DE6" w14:paraId="2A4FDD19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6589FD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0F98C5F" w14:textId="77777777" w:rsidR="002E089D" w:rsidRPr="00BD2B03" w:rsidRDefault="002E089D" w:rsidP="0078189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8ADD12" w14:textId="77777777" w:rsidR="002E089D" w:rsidRPr="00A21E52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9B230F8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E1CE97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5BF4DC5" w14:textId="77777777" w:rsidR="002E089D" w:rsidRPr="0082223B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177361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806FAD9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0D8709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026885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7080B8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5154F34F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D20ECE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8EC29C" w14:textId="77777777" w:rsidR="002E089D" w:rsidRPr="00B87DE6" w:rsidRDefault="002E089D" w:rsidP="0078189A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CCC957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885EE58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06FC55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E0B3286" w14:textId="77777777" w:rsidR="002E089D" w:rsidRPr="00B87DE6" w:rsidRDefault="002E089D" w:rsidP="0078189A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9E433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975040C" w14:textId="77777777" w:rsidTr="0078189A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15A3D8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A3B9BAA" w14:textId="77777777" w:rsidR="002E089D" w:rsidRPr="0082223B" w:rsidRDefault="002E089D" w:rsidP="0078189A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BCFAEE3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75FE5284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9290213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54151D9" w14:textId="77777777" w:rsidR="002E089D" w:rsidRPr="00B87DE6" w:rsidRDefault="002E089D" w:rsidP="0078189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35ED9520" w14:textId="77777777" w:rsidR="002E089D" w:rsidRPr="00B87DE6" w:rsidRDefault="002E089D" w:rsidP="0078189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67EB54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27</w:t>
                  </w: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38B0826C" w14:textId="77777777" w:rsidR="002E089D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688356F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276D91D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 xml:space="preserve">Conforme a la revisión realizada a la documentación técnica, económica y administrativa presentada por el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licitante/proveedor</w:t>
            </w: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0B3EB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“</w:t>
            </w:r>
            <w:r w:rsidRPr="00A83C27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JOSÉ </w:t>
            </w:r>
            <w:r w:rsidRPr="00936AA1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EDGAR JESÚS AVIÑA LÓPEZ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”,</w:t>
            </w:r>
            <w:r w:rsidRPr="000B3EB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constar 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 siguiente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incumplimiento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:</w:t>
            </w:r>
          </w:p>
          <w:p w14:paraId="7473F5B0" w14:textId="77777777" w:rsidR="002E089D" w:rsidRDefault="002E089D" w:rsidP="007818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FA55E12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936AA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En el numeral II apartado </w:t>
            </w:r>
            <w:r w:rsidRPr="00936AA1">
              <w:rPr>
                <w:rFonts w:asciiTheme="minorHAnsi" w:hAnsiTheme="minorHAnsi" w:cstheme="minorHAnsi"/>
                <w:b/>
                <w:sz w:val="14"/>
                <w:szCs w:val="14"/>
                <w:u w:val="single"/>
              </w:rPr>
              <w:t>2.1</w:t>
            </w:r>
            <w:r w:rsidRPr="00936AA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Convocatoria AD E/012-2022, se solicitó:</w:t>
            </w:r>
          </w:p>
          <w:p w14:paraId="26169934" w14:textId="77777777" w:rsidR="002E089D" w:rsidRPr="00E03587" w:rsidRDefault="002E089D" w:rsidP="007818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E03587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Documentos legales adicionales:</w:t>
            </w:r>
          </w:p>
          <w:p w14:paraId="4C00305D" w14:textId="77777777" w:rsidR="002E089D" w:rsidRPr="00E03587" w:rsidRDefault="002E089D" w:rsidP="0078189A">
            <w:pPr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Con fundamento en el Artículo 71 fracción IX de la Ley de Adquisiciones, Arrendamientos y Servicios del Estado de Aguascalientes y sus Municipios, anexar la </w:t>
            </w:r>
            <w:r w:rsidRPr="004D350D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Opinión Positiva</w:t>
            </w:r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 de los siguientes documentos:</w:t>
            </w:r>
          </w:p>
          <w:p w14:paraId="3E4C3CC6" w14:textId="77777777" w:rsidR="002E089D" w:rsidRPr="00E03587" w:rsidRDefault="002E089D" w:rsidP="0078189A">
            <w:pPr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</w:p>
          <w:p w14:paraId="0DC43B5E" w14:textId="77777777" w:rsidR="002E089D" w:rsidRPr="00E03587" w:rsidRDefault="002E089D" w:rsidP="002E089D">
            <w:pPr>
              <w:pStyle w:val="Prrafodelista"/>
              <w:widowControl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Comprobante del SAT en donde se indica que está al corriente de sus obligaciones fiscales. </w:t>
            </w:r>
          </w:p>
          <w:p w14:paraId="3C264AE8" w14:textId="77777777" w:rsidR="002E089D" w:rsidRPr="00E03587" w:rsidRDefault="002E089D" w:rsidP="002E089D">
            <w:pPr>
              <w:pStyle w:val="Prrafodelista"/>
              <w:widowControl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Opinión del Cumplimiento de Obligaciones fiscales en materia de Seguridad </w:t>
            </w:r>
            <w:proofErr w:type="gramStart"/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Social.*</w:t>
            </w:r>
            <w:proofErr w:type="gramEnd"/>
          </w:p>
          <w:p w14:paraId="2414843E" w14:textId="77777777" w:rsidR="002E089D" w:rsidRPr="00E03587" w:rsidRDefault="002E089D" w:rsidP="002E089D">
            <w:pPr>
              <w:pStyle w:val="Prrafodelista"/>
              <w:widowControl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</w:pPr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Constancia de situación fiscal del </w:t>
            </w:r>
            <w:proofErr w:type="gramStart"/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INFONAVIT.*</w:t>
            </w:r>
            <w:proofErr w:type="gramEnd"/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 </w:t>
            </w:r>
          </w:p>
          <w:p w14:paraId="42220FD2" w14:textId="77777777" w:rsidR="002E089D" w:rsidRPr="007D0204" w:rsidRDefault="002E089D" w:rsidP="002E089D">
            <w:pPr>
              <w:pStyle w:val="Prrafodelista"/>
              <w:widowControl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</w:pPr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Opinión de Situación Fiscal de Cumplimiento de Obligaciones Estatales emitida por la Secretaría de </w:t>
            </w:r>
            <w:r w:rsidRPr="007D0204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Finanzas del Estado de Aguascalientes. ** </w:t>
            </w:r>
          </w:p>
          <w:p w14:paraId="2FC5C834" w14:textId="77777777" w:rsidR="002E089D" w:rsidRPr="007D0204" w:rsidRDefault="002E089D" w:rsidP="0078189A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  <w:r w:rsidRPr="007D0204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(Deberán presentarse las diversas opiniones de cumplimiento, vigentes, en sentido positivo o sin adeudo, con una vigencia no mayor a 30 días de la fecha del acto de Recepción y Ap</w:t>
            </w:r>
            <w:r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ertura de Propuestas, es decir, </w:t>
            </w:r>
            <w:r w:rsidRPr="00936AA1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al </w:t>
            </w:r>
            <w:r w:rsidRPr="00936AA1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>07 de agosto de 2022</w:t>
            </w:r>
            <w:r w:rsidRPr="00936AA1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).</w:t>
            </w:r>
          </w:p>
          <w:p w14:paraId="519E2F5B" w14:textId="77777777" w:rsidR="002E089D" w:rsidRPr="00E03587" w:rsidRDefault="002E089D" w:rsidP="0078189A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</w:p>
          <w:p w14:paraId="3C8BA64D" w14:textId="77777777" w:rsidR="002E089D" w:rsidRPr="00E03587" w:rsidRDefault="002E089D" w:rsidP="0078189A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*En caso de no aplicar, se deberá anexar manifiesto bajo protesta de decir verdad en el que mencione que no le son aplicables el pago ante el IMSS e INFONAVIT, asimismo deberá integrar la Constancia de Situación Fiscal vigente, en el que pueda observarse que no se cuenta con la obligación de “Entero de retenciones mensuales de ISR por sueldos y salarios”.</w:t>
            </w:r>
          </w:p>
          <w:p w14:paraId="5477B58F" w14:textId="77777777" w:rsidR="002E089D" w:rsidRPr="00E03587" w:rsidRDefault="002E089D" w:rsidP="0078189A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</w:p>
          <w:p w14:paraId="0F7D03C5" w14:textId="77777777" w:rsidR="002E089D" w:rsidRDefault="002E089D" w:rsidP="0078189A">
            <w:pPr>
              <w:jc w:val="both"/>
              <w:rPr>
                <w:rStyle w:val="Hipervnculo"/>
                <w:rFonts w:asciiTheme="minorHAnsi" w:eastAsia="Calibri" w:hAnsiTheme="minorHAnsi" w:cstheme="minorHAnsi"/>
                <w:i/>
                <w:sz w:val="14"/>
                <w:szCs w:val="14"/>
              </w:rPr>
            </w:pPr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**Todos los licitantes/proveedores </w:t>
            </w:r>
            <w:r w:rsidRPr="00E03587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sin excepción</w:t>
            </w:r>
            <w:r w:rsidRPr="00E03587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, no importando que no tengan su domicilio fiscal en el Estado de Aguascalientes, se puede obtener más información en: </w:t>
            </w:r>
            <w:hyperlink r:id="rId9" w:history="1">
              <w:r w:rsidRPr="00E03587">
                <w:rPr>
                  <w:rStyle w:val="Hipervnculo"/>
                  <w:rFonts w:asciiTheme="minorHAnsi" w:eastAsia="Calibri" w:hAnsiTheme="minorHAnsi" w:cstheme="minorHAnsi"/>
                  <w:i/>
                  <w:sz w:val="14"/>
                  <w:szCs w:val="14"/>
                </w:rPr>
                <w:t>https://tramites.aguascalientes.gob.mx/tramite/EDO-SEFI-47</w:t>
              </w:r>
            </w:hyperlink>
          </w:p>
          <w:p w14:paraId="4A0667B8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  <w:p w14:paraId="72C5DECC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F593F">
              <w:rPr>
                <w:rFonts w:asciiTheme="minorHAnsi" w:hAnsiTheme="minorHAnsi" w:cstheme="minorHAnsi"/>
                <w:sz w:val="14"/>
                <w:szCs w:val="14"/>
              </w:rPr>
              <w:t>En este sentido y al realizar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la revisión </w:t>
            </w:r>
            <w:r w:rsidRPr="005F593F">
              <w:rPr>
                <w:rFonts w:asciiTheme="minorHAnsi" w:hAnsiTheme="minorHAnsi" w:cstheme="minorHAnsi"/>
                <w:sz w:val="14"/>
                <w:szCs w:val="14"/>
              </w:rPr>
              <w:t xml:space="preserve">administrativa de la propuesta presentada por </w:t>
            </w:r>
            <w:r w:rsidRPr="00936AA1">
              <w:rPr>
                <w:rFonts w:asciiTheme="minorHAnsi" w:hAnsiTheme="minorHAnsi" w:cstheme="minorHAnsi"/>
                <w:b/>
                <w:sz w:val="14"/>
                <w:szCs w:val="14"/>
              </w:rPr>
              <w:t>EDGAR JESÚS AVIÑA LÓPEZ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</w:t>
            </w:r>
            <w:r w:rsidRPr="005F593F">
              <w:rPr>
                <w:rFonts w:asciiTheme="minorHAnsi" w:hAnsiTheme="minorHAnsi" w:cstheme="minorHAnsi"/>
                <w:sz w:val="14"/>
                <w:szCs w:val="14"/>
              </w:rPr>
              <w:t xml:space="preserve"> se corroboró que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no presenta el punto </w:t>
            </w:r>
            <w:r w:rsidRPr="00936AA1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4. Opinión de Situación Fiscal de Cumplimiento de Obligaciones Estatales emitida por la Secretaría de Finanzas del Estado de Aguascalientes</w:t>
            </w:r>
            <w:r w:rsidRPr="00936AA1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incumpliendo con este requisito.</w:t>
            </w:r>
            <w:r w:rsidRPr="002C2549">
              <w:rPr>
                <w:rFonts w:asciiTheme="minorHAnsi" w:hAnsiTheme="minorHAnsi" w:cstheme="minorHAnsi"/>
                <w:b/>
                <w:i/>
                <w:sz w:val="14"/>
                <w:szCs w:val="14"/>
                <w:highlight w:val="yellow"/>
                <w:u w:val="single"/>
              </w:rPr>
              <w:t xml:space="preserve"> </w:t>
            </w:r>
          </w:p>
          <w:p w14:paraId="2C0139F6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461963F7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lastRenderedPageBreak/>
              <w:t xml:space="preserve">Conforme a lo establecido en las Bases de la Convocatoria en el </w:t>
            </w:r>
            <w:r w:rsidRPr="006B1795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numeral III apartado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0B3EB4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XIII.- DESECHAMIENTO DE PROPUESTAS, </w:t>
            </w:r>
            <w:r w:rsidRPr="000B3EB4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0B3EB4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>inconsistencias e incumplimientos manifestados y que afectan su solvencia, conforme a lo señalado en el artículo 55 y 56 de la Ley, de las bases de la presente licitación</w:t>
            </w:r>
            <w:r w:rsidRPr="00587BDE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manera general de </w:t>
            </w:r>
            <w:r w:rsidRPr="00656D1C">
              <w:rPr>
                <w:rFonts w:asciiTheme="minorHAnsi" w:hAnsiTheme="minorHAnsi" w:cstheme="minorHAnsi"/>
                <w:b/>
                <w:sz w:val="14"/>
                <w:szCs w:val="14"/>
              </w:rPr>
              <w:t>EDGAR JESÚS AVIÑA LÓPEZ</w:t>
            </w:r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</w:p>
          <w:p w14:paraId="571CCD27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6F72385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1930EB">
              <w:rPr>
                <w:rFonts w:asciiTheme="minorHAnsi" w:hAnsiTheme="minorHAnsi" w:cs="Arial"/>
                <w:b/>
                <w:sz w:val="14"/>
                <w:szCs w:val="16"/>
              </w:rPr>
              <w:t>Lic. Roberto Alejandro Ortega Martínez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1930EB">
              <w:rPr>
                <w:rFonts w:asciiTheme="minorHAnsi" w:hAnsiTheme="minorHAnsi" w:cstheme="minorHAnsi"/>
                <w:b/>
                <w:sz w:val="14"/>
                <w:szCs w:val="14"/>
              </w:rPr>
              <w:t>Jefe del Departamento de Mantenimiento de la DGIU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  <w:p w14:paraId="521A4A55" w14:textId="77777777" w:rsidR="002E089D" w:rsidRPr="0082223B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2E089D" w:rsidRPr="0082223B" w14:paraId="1693BD1A" w14:textId="77777777" w:rsidTr="002E089D">
        <w:trPr>
          <w:trHeight w:val="514"/>
          <w:jc w:val="center"/>
        </w:trPr>
        <w:tc>
          <w:tcPr>
            <w:tcW w:w="177" w:type="pct"/>
            <w:noWrap/>
            <w:vAlign w:val="center"/>
          </w:tcPr>
          <w:p w14:paraId="53714E5D" w14:textId="77777777" w:rsidR="002E089D" w:rsidRPr="002A21CE" w:rsidRDefault="002E089D" w:rsidP="0078189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847" w:type="pct"/>
            <w:noWrap/>
            <w:vAlign w:val="center"/>
          </w:tcPr>
          <w:p w14:paraId="3CD8186E" w14:textId="77777777" w:rsidR="002E089D" w:rsidRPr="002A21CE" w:rsidRDefault="002E089D" w:rsidP="0078189A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B04D5E">
              <w:rPr>
                <w:rFonts w:ascii="Arial" w:hAnsi="Arial" w:cs="Arial"/>
                <w:b/>
                <w:sz w:val="12"/>
                <w:szCs w:val="12"/>
              </w:rPr>
              <w:t>ACEROS SAN MARCOS AG, S.A. DE C.V.</w:t>
            </w:r>
          </w:p>
        </w:tc>
        <w:tc>
          <w:tcPr>
            <w:tcW w:w="3976" w:type="pct"/>
            <w:vAlign w:val="center"/>
          </w:tcPr>
          <w:p w14:paraId="492E1B36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partida: 1, 2 y 17</w:t>
            </w:r>
          </w:p>
          <w:p w14:paraId="08D6CC00" w14:textId="77777777" w:rsidR="002E089D" w:rsidRPr="00B87DE6" w:rsidRDefault="002E089D" w:rsidP="0078189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35CC643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Pr="00B04D5E">
              <w:rPr>
                <w:rFonts w:ascii="Arial" w:hAnsi="Arial" w:cs="Arial"/>
                <w:i/>
                <w:sz w:val="12"/>
                <w:szCs w:val="12"/>
                <w:u w:val="single"/>
              </w:rPr>
              <w:t>ACEROS SAN MARCOS AG, S.A. DE C.V.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092EBCE7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111A51C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7CF8100A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B87DE6" w14:paraId="6B0BC2DF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38C4CE9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86F7B75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77E01829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B87DE6" w14:paraId="3445260E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D3FC718" w14:textId="77777777" w:rsidR="002E089D" w:rsidRPr="00B87DE6" w:rsidRDefault="002E089D" w:rsidP="0078189A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2C5B4B7" w14:textId="77777777" w:rsidR="002E089D" w:rsidRPr="00B87DE6" w:rsidRDefault="002E089D" w:rsidP="0078189A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05B2B7E3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3EEE2649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BD1AF77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64553E8" w14:textId="77777777" w:rsidR="002E089D" w:rsidRPr="00B87DE6" w:rsidRDefault="002E089D" w:rsidP="0078189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CB09F6E" w14:textId="77777777" w:rsidR="002E089D" w:rsidRPr="00C64905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EE128F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José Luis Ramírez Jiménez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B04D5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ACEROS SAN MARCOS AG, S.A. DE C.V.</w:t>
                  </w:r>
                </w:p>
              </w:tc>
            </w:tr>
            <w:tr w:rsidR="002E089D" w:rsidRPr="00B87DE6" w14:paraId="321C8929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13F9716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F93F54C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3A3610F8" w14:textId="77777777" w:rsidR="002E089D" w:rsidRPr="00B87DE6" w:rsidRDefault="002E089D" w:rsidP="0078189A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4735C1F3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45E6888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64DD20C4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123EE6AF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12247522" w14:textId="77777777" w:rsidR="002E089D" w:rsidRDefault="002E089D" w:rsidP="0078189A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BAE5D9D" w14:textId="77777777" w:rsidR="002E089D" w:rsidRPr="00C64905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0B4A15B9" w14:textId="77777777" w:rsidR="002E089D" w:rsidRDefault="002E089D" w:rsidP="0078189A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PASAPORTE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A276D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C. José Luis Ramírez Jiménez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situación fiscal, Acta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onstitutiva, </w:t>
                  </w:r>
                  <w:r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arta poder a favor de la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Iola Enríquez Ochoa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, presenta INE como identificación Oficial</w:t>
                  </w:r>
                </w:p>
                <w:p w14:paraId="34300AD6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078820D7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BC6C66F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3B75050" w14:textId="77777777" w:rsidR="002E089D" w:rsidRPr="00B87DE6" w:rsidRDefault="002E089D" w:rsidP="0078189A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0A90EB8D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74A93592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1A790878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3046A2C2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20DECB0A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1E1FFAF4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BEB1E95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16011FF6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4433CE13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31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agosto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275811A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0E67FE3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16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agosto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65C4FF34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517F62A1" w14:textId="77777777" w:rsidR="002E089D" w:rsidRPr="00C64905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31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agosto de 2022. Sin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adeudos).</w:t>
                  </w:r>
                </w:p>
                <w:p w14:paraId="1EF7942E" w14:textId="77777777" w:rsidR="002E089D" w:rsidRPr="00C64905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1AFC6C73" w14:textId="77777777" w:rsidR="002E089D" w:rsidRPr="00C64905" w:rsidRDefault="002E089D" w:rsidP="0078189A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31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agosto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 2022 al corriente).</w:t>
                  </w:r>
                </w:p>
                <w:p w14:paraId="60D9330B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64C07B7A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C60848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DC970F4" w14:textId="77777777" w:rsidR="002E089D" w:rsidRPr="0082223B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3FF4423" w14:textId="77777777" w:rsidR="002E089D" w:rsidRDefault="002E089D" w:rsidP="0078189A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52E5EA86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9630187" w14:textId="77777777" w:rsidR="002E089D" w:rsidRDefault="002E089D" w:rsidP="0078189A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1 y 2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2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años</w:t>
                  </w:r>
                </w:p>
                <w:p w14:paraId="463E72A2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17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años</w:t>
                  </w:r>
                </w:p>
              </w:tc>
            </w:tr>
            <w:tr w:rsidR="002E089D" w:rsidRPr="00B87DE6" w14:paraId="5E67F84B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74DF43A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149F270B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8A99FE5" w14:textId="77777777" w:rsidR="002E089D" w:rsidRPr="00B87DE6" w:rsidRDefault="002E089D" w:rsidP="0078189A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268DE077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5AD48DC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3D1042C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49A0D89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5061CDC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0B7CC3F9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BE90614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59B06BB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475E0920" w14:textId="77777777" w:rsidR="002E089D" w:rsidRPr="00D61A1C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7D90FE9E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E84E61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518D1963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C76EE57" w14:textId="77777777" w:rsidR="002E089D" w:rsidRPr="00D72415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D7241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9A25301" w14:textId="77777777" w:rsidR="002E089D" w:rsidRPr="00D72415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D72415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Muestra física (1, 2 y 17)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3570736" w14:textId="77777777" w:rsidR="002E089D" w:rsidRPr="00F82A32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F82A3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CBC5EC9" w14:textId="77777777" w:rsidR="002E089D" w:rsidRPr="00F82A32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F82A3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2E089D" w:rsidRPr="00B87DE6" w14:paraId="300CE274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D13D909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D7A0196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C9BD717" w14:textId="77777777" w:rsidR="002E089D" w:rsidRPr="00F82A32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F82A3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1979A73" w14:textId="77777777" w:rsidR="002E089D" w:rsidRPr="00F82A32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82A3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2E089D" w:rsidRPr="00B87DE6" w14:paraId="168E7596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9584A37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240FA9" w14:textId="77777777" w:rsidR="002E089D" w:rsidRPr="00BD2B03" w:rsidRDefault="002E089D" w:rsidP="0078189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179A960" w14:textId="77777777" w:rsidR="002E089D" w:rsidRPr="00755AD4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755AD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3639FB0" w14:textId="77777777" w:rsidR="002E089D" w:rsidRPr="00DF4FE0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755AD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93</w:t>
                  </w:r>
                </w:p>
                <w:p w14:paraId="4FF21EA5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4778F630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241C691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06BA907" w14:textId="77777777" w:rsidR="002E089D" w:rsidRPr="00BD2B03" w:rsidRDefault="002E089D" w:rsidP="0078189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D40513B" w14:textId="77777777" w:rsidR="002E089D" w:rsidRPr="00A21E52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5702196F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6895A4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E59B454" w14:textId="77777777" w:rsidR="002E089D" w:rsidRPr="0082223B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267E67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8F3A09C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69690DE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9404A72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274E14A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7DD75828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5655A83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C4E2543" w14:textId="77777777" w:rsidR="002E089D" w:rsidRPr="00B87DE6" w:rsidRDefault="002E089D" w:rsidP="0078189A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”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CF854B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5CF5710B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5DE8A6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2B2F45C" w14:textId="77777777" w:rsidR="002E089D" w:rsidRPr="00B87DE6" w:rsidRDefault="002E089D" w:rsidP="0078189A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6552EE9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335B3171" w14:textId="77777777" w:rsidTr="0078189A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EFE8903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5DB2603" w14:textId="77777777" w:rsidR="002E089D" w:rsidRPr="0082223B" w:rsidRDefault="002E089D" w:rsidP="0078189A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4E067A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8DA1F52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C847B97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1862AE6" w14:textId="77777777" w:rsidR="002E089D" w:rsidRPr="00B87DE6" w:rsidRDefault="002E089D" w:rsidP="0078189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3286144" w14:textId="77777777" w:rsidR="002E089D" w:rsidRPr="00B87DE6" w:rsidRDefault="002E089D" w:rsidP="0078189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F2851E2" w14:textId="77777777" w:rsidR="002E089D" w:rsidRPr="00B87DE6" w:rsidRDefault="002E089D" w:rsidP="0078189A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111</w:t>
                  </w: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y 2 sin folio</w:t>
                  </w:r>
                </w:p>
              </w:tc>
            </w:tr>
          </w:tbl>
          <w:p w14:paraId="12F06CED" w14:textId="77777777" w:rsidR="002E089D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C8F754C" w14:textId="77777777" w:rsidR="002E089D" w:rsidRPr="00E85920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lastRenderedPageBreak/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1930EB">
              <w:rPr>
                <w:rFonts w:asciiTheme="minorHAnsi" w:hAnsiTheme="minorHAnsi" w:cs="Arial"/>
                <w:b/>
                <w:sz w:val="14"/>
                <w:szCs w:val="16"/>
              </w:rPr>
              <w:t>Lic. Roberto Alejandro Ortega Martínez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1930EB">
              <w:rPr>
                <w:rFonts w:asciiTheme="minorHAnsi" w:hAnsiTheme="minorHAnsi" w:cstheme="minorHAnsi"/>
                <w:b/>
                <w:sz w:val="14"/>
                <w:szCs w:val="14"/>
              </w:rPr>
              <w:t>Jefe del Departamento de Mantenimiento de la DGIU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  <w:tr w:rsidR="002E089D" w:rsidRPr="0082223B" w14:paraId="17746951" w14:textId="77777777" w:rsidTr="0078189A">
        <w:trPr>
          <w:trHeight w:val="1119"/>
          <w:jc w:val="center"/>
        </w:trPr>
        <w:tc>
          <w:tcPr>
            <w:tcW w:w="177" w:type="pct"/>
            <w:noWrap/>
            <w:vAlign w:val="center"/>
          </w:tcPr>
          <w:p w14:paraId="3CCA55C7" w14:textId="77777777" w:rsidR="002E089D" w:rsidRPr="002A21CE" w:rsidRDefault="002E089D" w:rsidP="0078189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3</w:t>
            </w:r>
          </w:p>
        </w:tc>
        <w:tc>
          <w:tcPr>
            <w:tcW w:w="847" w:type="pct"/>
            <w:noWrap/>
            <w:vAlign w:val="center"/>
          </w:tcPr>
          <w:p w14:paraId="39498A23" w14:textId="77777777" w:rsidR="002E089D" w:rsidRPr="002A21CE" w:rsidRDefault="002E089D" w:rsidP="0078189A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A74A7A">
              <w:rPr>
                <w:rFonts w:ascii="Arial" w:hAnsi="Arial" w:cs="Arial"/>
                <w:b/>
                <w:sz w:val="12"/>
                <w:szCs w:val="12"/>
              </w:rPr>
              <w:t>LETREROS Y GRÁFICOS, S.A. DE C.V.</w:t>
            </w:r>
          </w:p>
        </w:tc>
        <w:tc>
          <w:tcPr>
            <w:tcW w:w="3976" w:type="pct"/>
            <w:vAlign w:val="center"/>
          </w:tcPr>
          <w:p w14:paraId="55452832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partida: 1, 2 y 17</w:t>
            </w:r>
          </w:p>
          <w:p w14:paraId="5923EAF1" w14:textId="77777777" w:rsidR="002E089D" w:rsidRPr="00B87DE6" w:rsidRDefault="002E089D" w:rsidP="0078189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1F90527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Pr="00A74A7A">
              <w:rPr>
                <w:rFonts w:ascii="Arial" w:hAnsi="Arial" w:cs="Arial"/>
                <w:i/>
                <w:sz w:val="12"/>
                <w:szCs w:val="12"/>
                <w:u w:val="single"/>
              </w:rPr>
              <w:t>LETREROS Y GRÁFICOS, S.A. DE C.V.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59478EB2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93A213A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36196A63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B87DE6" w14:paraId="26EF8B8A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8133A46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64AF4EE4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4727B43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B87DE6" w14:paraId="76CD299D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4EC8EA93" w14:textId="77777777" w:rsidR="002E089D" w:rsidRPr="00B87DE6" w:rsidRDefault="002E089D" w:rsidP="0078189A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0CDBE126" w14:textId="77777777" w:rsidR="002E089D" w:rsidRPr="00B87DE6" w:rsidRDefault="002E089D" w:rsidP="0078189A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A5916D0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1A6309A6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C25622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56F37FC" w14:textId="77777777" w:rsidR="002E089D" w:rsidRPr="00B87DE6" w:rsidRDefault="002E089D" w:rsidP="0078189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6C38C07" w14:textId="77777777" w:rsidR="002E089D" w:rsidRPr="00C64905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6DF94FA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Juan Antonio Ruiz Esparza d</w:t>
                  </w:r>
                  <w:r w:rsidRPr="00A74A7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 Alba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AB757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LETREROS Y GRÁFICOS, S.A. DE C.V.</w:t>
                  </w:r>
                </w:p>
              </w:tc>
            </w:tr>
            <w:tr w:rsidR="002E089D" w:rsidRPr="00B87DE6" w14:paraId="114E54A6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475DC13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888BCA4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50B99D18" w14:textId="77777777" w:rsidR="002E089D" w:rsidRPr="00B87DE6" w:rsidRDefault="002E089D" w:rsidP="0078189A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7BCC806D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6F67C636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7B2C061E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62F39A84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367BB044" w14:textId="77777777" w:rsidR="002E089D" w:rsidRDefault="002E089D" w:rsidP="0078189A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225F346" w14:textId="77777777" w:rsidR="002E089D" w:rsidRPr="00C64905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44F2A4B6" w14:textId="77777777" w:rsidR="002E089D" w:rsidRDefault="002E089D" w:rsidP="0078189A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Juan Antonio Ruiz Esparza d</w:t>
                  </w:r>
                  <w:r w:rsidRPr="00A74A7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 Alba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RFC,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Constancia de situación fiscal, Acta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onstitutiva, </w:t>
                  </w:r>
                  <w:r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arta poder a favor de la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Christian Velasco Mendoza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, presenta INE como identificación Oficial</w:t>
                  </w:r>
                </w:p>
                <w:p w14:paraId="2BA5C39E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6FDD9B8D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5122C64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53DA1C4" w14:textId="77777777" w:rsidR="002E089D" w:rsidRPr="00B87DE6" w:rsidRDefault="002E089D" w:rsidP="0078189A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4873A0D6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16EE1A45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47728B74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05CB86F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501C4540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67999AAA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CF539D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EC75812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508A808E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6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septiembre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6C72B581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7AA019D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08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septiembre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200C9F4E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1F4840D0" w14:textId="77777777" w:rsidR="002E089D" w:rsidRPr="00C64905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08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septiembre de 2022. Sin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adeudos).</w:t>
                  </w:r>
                </w:p>
                <w:p w14:paraId="31EB3E5C" w14:textId="77777777" w:rsidR="002E089D" w:rsidRPr="00C64905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28C41E40" w14:textId="77777777" w:rsidR="002E089D" w:rsidRPr="00C64905" w:rsidRDefault="002E089D" w:rsidP="0078189A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01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septiembre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 2022 al corriente).</w:t>
                  </w:r>
                </w:p>
                <w:p w14:paraId="06C93407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62B71B69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3A5541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898483B" w14:textId="77777777" w:rsidR="002E089D" w:rsidRPr="0082223B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517D0A8" w14:textId="77777777" w:rsidR="002E089D" w:rsidRDefault="002E089D" w:rsidP="0078189A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1DAC92FA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08F416A" w14:textId="77777777" w:rsidR="002E089D" w:rsidRDefault="002E089D" w:rsidP="0078189A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1 y 2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2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años</w:t>
                  </w:r>
                </w:p>
                <w:p w14:paraId="12CD22A7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17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años</w:t>
                  </w:r>
                </w:p>
              </w:tc>
            </w:tr>
            <w:tr w:rsidR="002E089D" w:rsidRPr="00B87DE6" w14:paraId="645D8AC4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5A38012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C750A82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120DA26" w14:textId="77777777" w:rsidR="002E089D" w:rsidRPr="00B87DE6" w:rsidRDefault="002E089D" w:rsidP="0078189A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4A369633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3A16C6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2C97422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5578EA6E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AC67300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4894AB17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B2CFC25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7D1D435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47C6DB02" w14:textId="77777777" w:rsidR="002E089D" w:rsidRPr="00D61A1C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2CCA8FB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07B6312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769A2D96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0A746D72" w14:textId="77777777" w:rsidR="002E089D" w:rsidRPr="00D72415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D7241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F976AF5" w14:textId="77777777" w:rsidR="002E089D" w:rsidRPr="00D72415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D72415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Muestra física (1, 2 y 17)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5EEF09DA" w14:textId="77777777" w:rsidR="002E089D" w:rsidRPr="008329AF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329A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359C9AA" w14:textId="77777777" w:rsidR="002E089D" w:rsidRPr="008329AF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329A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2E089D" w:rsidRPr="00B87DE6" w14:paraId="3F04525A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3D3C17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DB2A4C3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967AA34" w14:textId="77777777" w:rsidR="002E089D" w:rsidRPr="00253294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8F94CC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2E089D" w:rsidRPr="00B87DE6" w14:paraId="4A69985A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3D82688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64AEF19" w14:textId="77777777" w:rsidR="002E089D" w:rsidRPr="00BD2B03" w:rsidRDefault="002E089D" w:rsidP="0078189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Respaldo del Fabricante: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Se deberá presentar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documento original firmado que acredite tal circunstancia de acuerdo a lo siguiente: Podrán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participar licitantes que sean fabricantes, subsidiarias del fabricante o distribuidores autorizados directamente por el fabricante de los bienes ofertados, en donde expresamente se manifieste que avalan y respaldan la propuesta presentada.  (Indicando c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laramente el bien que respalda)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3C354B1" w14:textId="77777777" w:rsidR="002E089D" w:rsidRPr="009F664E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664E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 (Manifiesto bajo protesto de decir verdad que es fabricante)</w:t>
                  </w:r>
                </w:p>
                <w:p w14:paraId="2794F680" w14:textId="77777777" w:rsidR="002E089D" w:rsidRPr="00DF4FE0" w:rsidRDefault="002E089D" w:rsidP="0078189A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F664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48</w:t>
                  </w:r>
                </w:p>
                <w:p w14:paraId="18C14B11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044A759B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00691F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71B297F" w14:textId="77777777" w:rsidR="002E089D" w:rsidRPr="00BD2B03" w:rsidRDefault="002E089D" w:rsidP="0078189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Centros de Servicio: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Presentar el licitante una relación de los centros de servicio, mantenimiento y reparación autorizados por el fabricante dentro del territorio mexicano.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813A269" w14:textId="77777777" w:rsidR="002E089D" w:rsidRPr="00A21E52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2C7382F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8E7E85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0988B88" w14:textId="77777777" w:rsidR="002E089D" w:rsidRPr="0082223B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económica: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deberá contener la cotización de los bienes ofertados, indicando la partida, cantidad, precio unitario, subtotal y el importe total de los bienes ofertados, desglosando el IVA, conforme al 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Anexo “4”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,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el cual forma parte de la presente convocatoria.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72DCAB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0BCBFC1E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FC32B28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D5B6D55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77E1A84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163D4BD4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B93CD49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03740CF" w14:textId="77777777" w:rsidR="002E089D" w:rsidRPr="00B87DE6" w:rsidRDefault="002E089D" w:rsidP="0078189A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Formato de Fianza Anexo “8”: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Se deberá presentar el borrador o formato de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  <w:u w:val="single"/>
                    </w:rPr>
                    <w:t>fianza firmado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por Representante legal. 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El proveedor que resulte adjudicado tendrá que cubrir una </w:t>
                  </w:r>
                  <w:r w:rsidRPr="00B87DE6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fianza por concepto de cumplimiento, calidad y vicios ocultos de contrato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, correspondiente al 10% del precio adjudicado antes de I.V.A., conforme al formato establecido.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2BE367E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DFDD6FA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92C581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1AFB643" w14:textId="77777777" w:rsidR="002E089D" w:rsidRPr="00B87DE6" w:rsidRDefault="002E089D" w:rsidP="0078189A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CEFFE5C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 NO </w:t>
                  </w: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32994125" w14:textId="77777777" w:rsidTr="0078189A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E2D2091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64473C4E" w14:textId="77777777" w:rsidR="002E089D" w:rsidRPr="0082223B" w:rsidRDefault="002E089D" w:rsidP="0078189A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BE1702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715A783C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C64F744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86EC8D8" w14:textId="77777777" w:rsidR="002E089D" w:rsidRPr="00B87DE6" w:rsidRDefault="002E089D" w:rsidP="0078189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1D1BB17B" w14:textId="77777777" w:rsidR="002E089D" w:rsidRPr="00B87DE6" w:rsidRDefault="002E089D" w:rsidP="0078189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A747933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51</w:t>
                  </w: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36C3866A" w14:textId="77777777" w:rsidR="002E089D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6086AA7" w14:textId="77777777" w:rsidR="002E089D" w:rsidRDefault="002E089D" w:rsidP="0078189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1930EB">
              <w:rPr>
                <w:rFonts w:asciiTheme="minorHAnsi" w:hAnsiTheme="minorHAnsi" w:cs="Arial"/>
                <w:b/>
                <w:sz w:val="14"/>
                <w:szCs w:val="16"/>
              </w:rPr>
              <w:t>Lic. Roberto Alejandro Ortega Martínez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1930EB">
              <w:rPr>
                <w:rFonts w:asciiTheme="minorHAnsi" w:hAnsiTheme="minorHAnsi" w:cstheme="minorHAnsi"/>
                <w:b/>
                <w:sz w:val="14"/>
                <w:szCs w:val="14"/>
              </w:rPr>
              <w:t>Jefe del Departamento de Mantenimiento de la DGIU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  <w:p w14:paraId="0BF0297D" w14:textId="77777777" w:rsidR="002E089D" w:rsidRPr="002A21CE" w:rsidRDefault="002E089D" w:rsidP="0078189A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2E089D" w:rsidRPr="0082223B" w14:paraId="23A7B780" w14:textId="77777777" w:rsidTr="0078189A">
        <w:trPr>
          <w:trHeight w:val="836"/>
          <w:jc w:val="center"/>
        </w:trPr>
        <w:tc>
          <w:tcPr>
            <w:tcW w:w="177" w:type="pct"/>
            <w:noWrap/>
            <w:vAlign w:val="center"/>
          </w:tcPr>
          <w:p w14:paraId="67F91826" w14:textId="77777777" w:rsidR="002E089D" w:rsidRPr="002A21CE" w:rsidRDefault="002E089D" w:rsidP="0078189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847" w:type="pct"/>
            <w:noWrap/>
            <w:vAlign w:val="center"/>
          </w:tcPr>
          <w:p w14:paraId="5A204DD5" w14:textId="77777777" w:rsidR="002E089D" w:rsidRPr="002A21CE" w:rsidRDefault="002E089D" w:rsidP="0078189A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700367">
              <w:rPr>
                <w:rFonts w:ascii="Arial" w:hAnsi="Arial" w:cs="Arial"/>
                <w:b/>
                <w:sz w:val="12"/>
                <w:szCs w:val="12"/>
              </w:rPr>
              <w:t>JORGE ARMANDO ALBERTOS GONZÁLEZ</w:t>
            </w:r>
          </w:p>
        </w:tc>
        <w:tc>
          <w:tcPr>
            <w:tcW w:w="3976" w:type="pct"/>
            <w:vAlign w:val="center"/>
          </w:tcPr>
          <w:p w14:paraId="2456D107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partida: 1 y 2</w:t>
            </w:r>
          </w:p>
          <w:p w14:paraId="319DBB8E" w14:textId="77777777" w:rsidR="002E089D" w:rsidRPr="00B87DE6" w:rsidRDefault="002E089D" w:rsidP="0078189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B311167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Pr="00700367">
              <w:rPr>
                <w:rFonts w:ascii="Arial" w:hAnsi="Arial" w:cs="Arial"/>
                <w:i/>
                <w:sz w:val="12"/>
                <w:szCs w:val="12"/>
                <w:u w:val="single"/>
              </w:rPr>
              <w:t>JORGE ARMANDO ALBERTOS GONZÁLEZ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74755596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614C09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33AEC884" w14:textId="77777777" w:rsidR="002E089D" w:rsidRPr="00B87DE6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B87DE6" w14:paraId="7195A015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34F4239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2AC6F7B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C3D954E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B87DE6" w14:paraId="4F147A9B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142B422A" w14:textId="77777777" w:rsidR="002E089D" w:rsidRPr="00B87DE6" w:rsidRDefault="002E089D" w:rsidP="0078189A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A95F489" w14:textId="77777777" w:rsidR="002E089D" w:rsidRPr="00B87DE6" w:rsidRDefault="002E089D" w:rsidP="0078189A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45D31D36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1E91C523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FB06BEA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E28E786" w14:textId="77777777" w:rsidR="002E089D" w:rsidRPr="00B87DE6" w:rsidRDefault="002E089D" w:rsidP="0078189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246A84A" w14:textId="77777777" w:rsidR="002E089D" w:rsidRPr="00C64905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BB309F4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70036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JORGE ARMANDO ALBERTOS GONZÁLEZ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2E089D" w:rsidRPr="00B87DE6" w14:paraId="1CE58403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9448DFB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607ADDA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5FA54B9A" w14:textId="77777777" w:rsidR="002E089D" w:rsidRPr="00B87DE6" w:rsidRDefault="002E089D" w:rsidP="0078189A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635230C1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632545D6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27F507E6" w14:textId="77777777" w:rsidR="002E089D" w:rsidRPr="00B87DE6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7E3CBE45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7B5C5459" w14:textId="77777777" w:rsidR="002E089D" w:rsidRDefault="002E089D" w:rsidP="0078189A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01CE121" w14:textId="77777777" w:rsidR="002E089D" w:rsidRPr="00C64905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0EF58024" w14:textId="77777777" w:rsidR="002E089D" w:rsidRDefault="002E089D" w:rsidP="0078189A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</w:t>
                  </w:r>
                  <w:r>
                    <w:t xml:space="preserve"> </w:t>
                  </w:r>
                  <w:r w:rsidRPr="0070036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JORGE ARMANDO ALBERTOS GONZÁLEZ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Constancia de situación fiscal, Acta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de Nacimiento.</w:t>
                  </w:r>
                </w:p>
                <w:p w14:paraId="7B418DB0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3E1A530D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C06304C" w14:textId="77777777" w:rsidR="002E089D" w:rsidRPr="00B87DE6" w:rsidRDefault="002E089D" w:rsidP="0078189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47798D9" w14:textId="77777777" w:rsidR="002E089D" w:rsidRPr="00B87DE6" w:rsidRDefault="002E089D" w:rsidP="0078189A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7B2F6A03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6502E33C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3AD44F3C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7DF093D9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164F0FC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687D9E7B" w14:textId="77777777" w:rsidR="002E089D" w:rsidRPr="00B87DE6" w:rsidRDefault="002E089D" w:rsidP="002E089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635B198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4EAF70D" w14:textId="77777777" w:rsidR="002E089D" w:rsidRPr="00C64905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0514779B" w14:textId="77777777" w:rsidR="002E089D" w:rsidRPr="0030124C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</w:t>
                  </w:r>
                  <w:r w:rsidRPr="0030124C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Positivo, 25 de agosto de 2022). </w:t>
                  </w:r>
                  <w:r w:rsidRPr="0030124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7D3D2C87" w14:textId="77777777" w:rsidR="002E089D" w:rsidRPr="0030124C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2EE2323A" w14:textId="77777777" w:rsidR="002E089D" w:rsidRPr="0030124C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  <w:r w:rsidRPr="0030124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30124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Pr="0030124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Presenta, no tiene trabajadores activos, 25 de agosto de 2022</w:t>
                  </w:r>
                  <w:r w:rsidRPr="0030124C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).</w:t>
                  </w:r>
                </w:p>
                <w:p w14:paraId="36ADA639" w14:textId="77777777" w:rsidR="002E089D" w:rsidRPr="0030124C" w:rsidRDefault="002E089D" w:rsidP="0078189A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3ECEB9AA" w14:textId="77777777" w:rsidR="002E089D" w:rsidRPr="0030124C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0124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(Presenta, no tiene trabajadores activos, 24 de agosto de 2022).</w:t>
                  </w:r>
                </w:p>
                <w:p w14:paraId="1BB58A3F" w14:textId="77777777" w:rsidR="002E089D" w:rsidRPr="0030124C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1E856469" w14:textId="77777777" w:rsidR="002E089D" w:rsidRPr="00C64905" w:rsidRDefault="002E089D" w:rsidP="0078189A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25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agosto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 2022 al corriente).</w:t>
                  </w:r>
                </w:p>
                <w:p w14:paraId="7E69DB98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592F92E7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2F0E4E1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E894655" w14:textId="77777777" w:rsidR="002E089D" w:rsidRPr="0082223B" w:rsidRDefault="002E089D" w:rsidP="0078189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35C065E" w14:textId="77777777" w:rsidR="002E089D" w:rsidRDefault="002E089D" w:rsidP="0078189A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6C6D15AB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FE532F0" w14:textId="77777777" w:rsidR="002E089D" w:rsidRDefault="002E089D" w:rsidP="0078189A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1 y 2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2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años</w:t>
                  </w:r>
                </w:p>
                <w:p w14:paraId="06DFF7BC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17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años</w:t>
                  </w:r>
                </w:p>
              </w:tc>
            </w:tr>
            <w:tr w:rsidR="002E089D" w:rsidRPr="00B87DE6" w14:paraId="2B3EFE9A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11239D2F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1E51D1D1" w14:textId="77777777" w:rsidR="002E089D" w:rsidRPr="00B87DE6" w:rsidRDefault="002E089D" w:rsidP="0078189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3EB0C2D" w14:textId="77777777" w:rsidR="002E089D" w:rsidRPr="00B87DE6" w:rsidRDefault="002E089D" w:rsidP="0078189A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1A1D9971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ABA3522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495355D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B2D0CB9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A4DEA2C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1A84D85F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C943679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CFAC986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1C120667" w14:textId="77777777" w:rsidR="002E089D" w:rsidRPr="00D61A1C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7A8C6665" w14:textId="77777777" w:rsidR="002E089D" w:rsidRPr="00D15CD1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7412DBE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49837266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56D8236" w14:textId="77777777" w:rsidR="002E089D" w:rsidRPr="00D72415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D7241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5293952" w14:textId="77777777" w:rsidR="002E089D" w:rsidRPr="00D72415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D72415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Muestra física (1, 2 y 17)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988C141" w14:textId="77777777" w:rsidR="002E089D" w:rsidRPr="0030124C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0124C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2E6A9283" w14:textId="77777777" w:rsidR="002E089D" w:rsidRPr="0030124C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0124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2E089D" w:rsidRPr="00B87DE6" w14:paraId="4B6EA158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2C87F7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0CF7603" w14:textId="77777777" w:rsidR="002E089D" w:rsidRPr="00B87DE6" w:rsidRDefault="002E089D" w:rsidP="0078189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1EF333F" w14:textId="77777777" w:rsidR="002E089D" w:rsidRPr="0030124C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0124C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08DCFEE" w14:textId="77777777" w:rsidR="002E089D" w:rsidRPr="0030124C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0124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2E089D" w:rsidRPr="00B87DE6" w14:paraId="36D29196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E309C89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9F21F5E" w14:textId="77777777" w:rsidR="002E089D" w:rsidRPr="00BD2B03" w:rsidRDefault="002E089D" w:rsidP="0078189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Respaldo del Fabricante: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Se deberá presentar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documento original firmado que acredite tal circunstancia de acuerdo a lo siguiente: Podrán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participar licitantes que sean fabricantes, subsidiarias del fabricante o distribuidores autorizados directamente por el fabricante de los bienes ofertados, en donde expresamente se manifieste que avalan y respaldan la propuesta presentada.  (Indicando c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laramente el bien que respalda)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8AA2CB2" w14:textId="77777777" w:rsidR="002E089D" w:rsidRPr="0030124C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0124C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73817071" w14:textId="77777777" w:rsidR="002E089D" w:rsidRPr="00DF4FE0" w:rsidRDefault="002E089D" w:rsidP="0078189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30124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20</w:t>
                  </w:r>
                </w:p>
                <w:p w14:paraId="47C39FB4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6E9E88FC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27EF20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20D6AFA" w14:textId="77777777" w:rsidR="002E089D" w:rsidRPr="00BD2B03" w:rsidRDefault="002E089D" w:rsidP="0078189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Centros de Servicio: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Presentar el licitante una relación de los centros de servicio, mantenimiento y reparación autorizados por el fabricante dentro del territorio mexicano.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7CDD62F" w14:textId="77777777" w:rsidR="002E089D" w:rsidRPr="00A21E52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10406011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2FA296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2141A6E" w14:textId="77777777" w:rsidR="002E089D" w:rsidRPr="0082223B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económica: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deberá contener la cotización de los bienes ofertados, indicando la partida, cantidad, precio unitario, subtotal y el importe total de los bienes ofertados, desglosando el IVA, conforme al 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Anexo “4”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,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el cual forma parte de la presente convocatoria.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846D404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510138A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0B23203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F355BA8" w14:textId="77777777" w:rsidR="002E089D" w:rsidRPr="00B87DE6" w:rsidRDefault="002E089D" w:rsidP="0078189A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D0A0935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18D1CD45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4CA7471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5E1EEB0" w14:textId="77777777" w:rsidR="002E089D" w:rsidRPr="00B87DE6" w:rsidRDefault="002E089D" w:rsidP="0078189A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Formato de Fianza Anexo “8”: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Se deberá presentar el borrador o formato de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  <w:u w:val="single"/>
                    </w:rPr>
                    <w:t>fianza firmado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por Representante legal. 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El proveedor que resulte adjudicado tendrá que cubrir una </w:t>
                  </w:r>
                  <w:r w:rsidRPr="00B87DE6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fianza por concepto de cumplimiento, calidad y vicios ocultos de contrato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, correspondiente al 10% del precio adjudicado antes de I.V.A., conforme al formato establecido.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78EB565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BC26E37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BC80EB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1AAA1B2" w14:textId="77777777" w:rsidR="002E089D" w:rsidRPr="00B87DE6" w:rsidRDefault="002E089D" w:rsidP="0078189A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A09F9D6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4BECF298" w14:textId="77777777" w:rsidTr="0078189A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D0B2E57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0FD8AE8" w14:textId="77777777" w:rsidR="002E089D" w:rsidRPr="0082223B" w:rsidRDefault="002E089D" w:rsidP="0078189A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9C6D52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5A36E6C0" w14:textId="77777777" w:rsidTr="0078189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C23837D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9783D2F" w14:textId="77777777" w:rsidR="002E089D" w:rsidRPr="00B87DE6" w:rsidRDefault="002E089D" w:rsidP="0078189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74D007B1" w14:textId="77777777" w:rsidR="002E089D" w:rsidRPr="00B87DE6" w:rsidRDefault="002E089D" w:rsidP="0078189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BC40669" w14:textId="77777777" w:rsidR="002E089D" w:rsidRPr="00B87DE6" w:rsidRDefault="002E089D" w:rsidP="0078189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25</w:t>
                  </w: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073F304A" w14:textId="77777777" w:rsidR="002E089D" w:rsidRDefault="002E089D" w:rsidP="0078189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E2C46E0" w14:textId="77777777" w:rsidR="002E089D" w:rsidRPr="002A21CE" w:rsidRDefault="002E089D" w:rsidP="0078189A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1930EB">
              <w:rPr>
                <w:rFonts w:asciiTheme="minorHAnsi" w:hAnsiTheme="minorHAnsi" w:cs="Arial"/>
                <w:b/>
                <w:sz w:val="14"/>
                <w:szCs w:val="16"/>
              </w:rPr>
              <w:t>Lic. Roberto Alejandro Ortega Martínez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1930EB">
              <w:rPr>
                <w:rFonts w:asciiTheme="minorHAnsi" w:hAnsiTheme="minorHAnsi" w:cstheme="minorHAnsi"/>
                <w:b/>
                <w:sz w:val="14"/>
                <w:szCs w:val="14"/>
              </w:rPr>
              <w:t>Jefe del Departamento de Mantenimiento de la DGIU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</w:tbl>
    <w:p w14:paraId="57549025" w14:textId="77777777" w:rsidR="002E089D" w:rsidRPr="002E089D" w:rsidRDefault="002E089D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color w:val="000000"/>
          <w:sz w:val="18"/>
          <w:szCs w:val="18"/>
        </w:rPr>
      </w:pPr>
    </w:p>
    <w:p w14:paraId="72CD8F1A" w14:textId="0EE4A7F0" w:rsidR="00B765F5" w:rsidRPr="002E089D" w:rsidRDefault="00F032A9" w:rsidP="00B765F5">
      <w:pPr>
        <w:pStyle w:val="Sangradetextonormal"/>
        <w:ind w:left="0"/>
        <w:jc w:val="both"/>
        <w:rPr>
          <w:rFonts w:ascii="Arial" w:hAnsi="Arial" w:cs="Arial"/>
          <w:b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</w:t>
      </w:r>
      <w:r w:rsidR="00B765F5" w:rsidRPr="002E089D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p w14:paraId="6F54B014" w14:textId="65BDD6B7" w:rsidR="00B765F5" w:rsidRPr="002E089D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2E089D">
        <w:rPr>
          <w:rFonts w:ascii="Arial" w:hAnsi="Arial" w:cs="Arial"/>
          <w:sz w:val="16"/>
          <w:szCs w:val="16"/>
        </w:rPr>
        <w:t>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</w:t>
      </w:r>
    </w:p>
    <w:p w14:paraId="1EF3E3C8" w14:textId="56F51944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tbl>
      <w:tblPr>
        <w:tblW w:w="5539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972"/>
        <w:gridCol w:w="712"/>
        <w:gridCol w:w="710"/>
        <w:gridCol w:w="853"/>
        <w:gridCol w:w="992"/>
        <w:gridCol w:w="853"/>
      </w:tblGrid>
      <w:tr w:rsidR="0011505C" w:rsidRPr="00964CC4" w14:paraId="097CE37D" w14:textId="77777777" w:rsidTr="0011505C">
        <w:trPr>
          <w:jc w:val="center"/>
        </w:trPr>
        <w:tc>
          <w:tcPr>
            <w:tcW w:w="352" w:type="pct"/>
            <w:shd w:val="clear" w:color="auto" w:fill="D9D9D9"/>
            <w:vAlign w:val="center"/>
          </w:tcPr>
          <w:p w14:paraId="3983D5A6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2542" w:type="pct"/>
            <w:shd w:val="clear" w:color="auto" w:fill="D9D9D9"/>
            <w:vAlign w:val="center"/>
          </w:tcPr>
          <w:p w14:paraId="11A81D52" w14:textId="77777777" w:rsidR="00F575C0" w:rsidRPr="00964CC4" w:rsidRDefault="00F575C0" w:rsidP="005742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364" w:type="pct"/>
            <w:shd w:val="clear" w:color="auto" w:fill="D9D9D9"/>
            <w:vAlign w:val="center"/>
          </w:tcPr>
          <w:p w14:paraId="7979885C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Unidad de Medida</w:t>
            </w:r>
          </w:p>
        </w:tc>
        <w:tc>
          <w:tcPr>
            <w:tcW w:w="363" w:type="pct"/>
            <w:shd w:val="clear" w:color="auto" w:fill="D9D9D9"/>
            <w:vAlign w:val="center"/>
          </w:tcPr>
          <w:p w14:paraId="46712CC1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Cantidad</w:t>
            </w:r>
          </w:p>
        </w:tc>
        <w:tc>
          <w:tcPr>
            <w:tcW w:w="436" w:type="pct"/>
            <w:shd w:val="clear" w:color="auto" w:fill="D9D9D9"/>
            <w:vAlign w:val="center"/>
          </w:tcPr>
          <w:p w14:paraId="7ECEC159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Empresa Adjudicada</w:t>
            </w:r>
          </w:p>
        </w:tc>
        <w:tc>
          <w:tcPr>
            <w:tcW w:w="507" w:type="pct"/>
            <w:shd w:val="clear" w:color="auto" w:fill="D9D9D9"/>
            <w:vAlign w:val="center"/>
          </w:tcPr>
          <w:p w14:paraId="5CDC8058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436" w:type="pct"/>
            <w:shd w:val="clear" w:color="auto" w:fill="D9D9D9"/>
            <w:vAlign w:val="center"/>
          </w:tcPr>
          <w:p w14:paraId="1234AA7B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11505C" w:rsidRPr="00964CC4" w14:paraId="73FE9E99" w14:textId="77777777" w:rsidTr="009F664E">
        <w:trPr>
          <w:trHeight w:val="3710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172FEBBC" w14:textId="36FF92AC" w:rsidR="0093691A" w:rsidRPr="00964CC4" w:rsidRDefault="0093691A" w:rsidP="0093691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</w:t>
            </w:r>
          </w:p>
        </w:tc>
        <w:tc>
          <w:tcPr>
            <w:tcW w:w="2542" w:type="pct"/>
            <w:vAlign w:val="center"/>
          </w:tcPr>
          <w:p w14:paraId="78A2E8E5" w14:textId="77777777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  <w:r w:rsidRPr="000871AD">
              <w:rPr>
                <w:rFonts w:ascii="Calibri" w:hAnsi="Calibri" w:cs="Calibri"/>
                <w:b/>
                <w:sz w:val="14"/>
                <w:szCs w:val="14"/>
              </w:rPr>
              <w:t xml:space="preserve">LONA GRIS CLARO 18 OZ NACIONAL MEDIDA 2.40X 2.40 MT (400 PIEZA) </w:t>
            </w:r>
          </w:p>
          <w:p w14:paraId="1CCD82B1" w14:textId="77777777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0871AD">
              <w:rPr>
                <w:rFonts w:ascii="Calibri" w:hAnsi="Calibri" w:cs="Calibri"/>
                <w:sz w:val="14"/>
                <w:szCs w:val="14"/>
              </w:rPr>
              <w:t>INCLUYE BASTILLA Y OJILLOS</w:t>
            </w:r>
          </w:p>
          <w:p w14:paraId="131B908D" w14:textId="77777777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2385394E" w14:textId="5B1FF873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0871AD">
              <w:rPr>
                <w:rFonts w:ascii="Calibri" w:hAnsi="Calibri" w:cs="Calibri"/>
                <w:sz w:val="14"/>
                <w:szCs w:val="14"/>
              </w:rPr>
              <w:t>2 años de garantía</w:t>
            </w:r>
          </w:p>
          <w:p w14:paraId="48F43522" w14:textId="77777777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5BA74459" w14:textId="77777777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4"/>
                <w:szCs w:val="14"/>
              </w:rPr>
            </w:pPr>
            <w:r w:rsidRPr="000871AD">
              <w:rPr>
                <w:rFonts w:ascii="Calibri" w:hAnsi="Calibri"/>
                <w:sz w:val="14"/>
                <w:szCs w:val="14"/>
              </w:rPr>
              <w:t xml:space="preserve">Tipo tejido: Tejido </w:t>
            </w:r>
            <w:proofErr w:type="gramStart"/>
            <w:r w:rsidRPr="000871AD">
              <w:rPr>
                <w:rFonts w:ascii="Calibri" w:hAnsi="Calibri"/>
                <w:sz w:val="14"/>
                <w:szCs w:val="14"/>
              </w:rPr>
              <w:t>plano;M</w:t>
            </w:r>
            <w:proofErr w:type="gramEnd"/>
            <w:r w:rsidRPr="000871AD">
              <w:rPr>
                <w:rFonts w:ascii="Calibri" w:hAnsi="Calibri"/>
                <w:sz w:val="14"/>
                <w:szCs w:val="14"/>
              </w:rPr>
              <w:t>-14-1000.</w:t>
            </w:r>
          </w:p>
          <w:p w14:paraId="3AF5F2DC" w14:textId="77777777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0871AD">
              <w:rPr>
                <w:rFonts w:ascii="Calibri" w:hAnsi="Calibri"/>
                <w:sz w:val="14"/>
                <w:szCs w:val="14"/>
              </w:rPr>
              <w:t>Cuenta: 14 X 14 hilos/</w:t>
            </w:r>
            <w:proofErr w:type="spellStart"/>
            <w:r w:rsidRPr="000871AD">
              <w:rPr>
                <w:rFonts w:ascii="Calibri" w:hAnsi="Calibri"/>
                <w:sz w:val="14"/>
                <w:szCs w:val="14"/>
              </w:rPr>
              <w:t>plg</w:t>
            </w:r>
            <w:proofErr w:type="spellEnd"/>
            <w:r w:rsidRPr="000871AD">
              <w:rPr>
                <w:rFonts w:ascii="Calibri" w:hAnsi="Calibri"/>
                <w:sz w:val="14"/>
                <w:szCs w:val="14"/>
              </w:rPr>
              <w:t xml:space="preserve"> </w:t>
            </w:r>
            <w:proofErr w:type="spellStart"/>
            <w:r w:rsidRPr="000871AD">
              <w:rPr>
                <w:rFonts w:ascii="Calibri" w:hAnsi="Calibri"/>
                <w:sz w:val="14"/>
                <w:szCs w:val="14"/>
              </w:rPr>
              <w:t>ó</w:t>
            </w:r>
            <w:proofErr w:type="spellEnd"/>
            <w:r w:rsidRPr="000871AD">
              <w:rPr>
                <w:rFonts w:ascii="Calibri" w:hAnsi="Calibri"/>
                <w:sz w:val="14"/>
                <w:szCs w:val="14"/>
              </w:rPr>
              <w:t xml:space="preserve"> 5.5 x 5.5 hilos/cm.</w:t>
            </w:r>
          </w:p>
          <w:p w14:paraId="0872A450" w14:textId="77777777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244061"/>
                <w:sz w:val="14"/>
                <w:szCs w:val="14"/>
              </w:rPr>
            </w:pPr>
            <w:r w:rsidRPr="000871AD">
              <w:rPr>
                <w:rFonts w:ascii="Calibri" w:hAnsi="Calibri"/>
                <w:sz w:val="14"/>
                <w:szCs w:val="14"/>
              </w:rPr>
              <w:t>Fibra: Polyester.</w:t>
            </w:r>
          </w:p>
          <w:p w14:paraId="311641FE" w14:textId="77777777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4"/>
                <w:szCs w:val="14"/>
              </w:rPr>
            </w:pPr>
            <w:r w:rsidRPr="000871AD">
              <w:rPr>
                <w:rFonts w:ascii="Calibri" w:hAnsi="Calibri"/>
                <w:sz w:val="14"/>
                <w:szCs w:val="14"/>
              </w:rPr>
              <w:t>Denier: 1000.</w:t>
            </w:r>
          </w:p>
          <w:p w14:paraId="3DEE7834" w14:textId="77777777" w:rsidR="0093691A" w:rsidRPr="000871AD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14"/>
                <w:szCs w:val="14"/>
              </w:rPr>
            </w:pPr>
            <w:r w:rsidRPr="000871AD">
              <w:rPr>
                <w:rFonts w:ascii="Calibri" w:hAnsi="Calibri"/>
                <w:sz w:val="14"/>
                <w:szCs w:val="14"/>
              </w:rPr>
              <w:t xml:space="preserve">Cuenta con protector UV y con </w:t>
            </w:r>
            <w:proofErr w:type="spellStart"/>
            <w:r w:rsidRPr="000871AD">
              <w:rPr>
                <w:rFonts w:ascii="Calibri" w:hAnsi="Calibri"/>
                <w:sz w:val="14"/>
                <w:szCs w:val="14"/>
              </w:rPr>
              <w:t>retardante</w:t>
            </w:r>
            <w:proofErr w:type="spellEnd"/>
            <w:r w:rsidRPr="000871AD">
              <w:rPr>
                <w:rFonts w:ascii="Calibri" w:hAnsi="Calibri"/>
                <w:sz w:val="14"/>
                <w:szCs w:val="14"/>
              </w:rPr>
              <w:t xml:space="preserve"> al hongo.</w:t>
            </w:r>
          </w:p>
          <w:p w14:paraId="00862EF2" w14:textId="77777777" w:rsidR="0093691A" w:rsidRPr="00E3479B" w:rsidRDefault="0093691A" w:rsidP="0093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244061"/>
                <w:sz w:val="16"/>
                <w:szCs w:val="16"/>
              </w:rPr>
            </w:pPr>
          </w:p>
          <w:tbl>
            <w:tblPr>
              <w:tblStyle w:val="Tablaconcuadrcula"/>
              <w:tblW w:w="4759" w:type="dxa"/>
              <w:tblLayout w:type="fixed"/>
              <w:tblLook w:val="04A0" w:firstRow="1" w:lastRow="0" w:firstColumn="1" w:lastColumn="0" w:noHBand="0" w:noVBand="1"/>
            </w:tblPr>
            <w:tblGrid>
              <w:gridCol w:w="951"/>
              <w:gridCol w:w="952"/>
              <w:gridCol w:w="952"/>
              <w:gridCol w:w="952"/>
              <w:gridCol w:w="952"/>
            </w:tblGrid>
            <w:tr w:rsidR="0011505C" w:rsidRPr="00E3479B" w14:paraId="0EEAB49E" w14:textId="77777777" w:rsidTr="0011505C">
              <w:trPr>
                <w:trHeight w:val="251"/>
              </w:trPr>
              <w:tc>
                <w:tcPr>
                  <w:tcW w:w="2024" w:type="dxa"/>
                  <w:gridSpan w:val="2"/>
                  <w:shd w:val="clear" w:color="auto" w:fill="D9D9D9"/>
                </w:tcPr>
                <w:p w14:paraId="36C3BB67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b/>
                      <w:sz w:val="12"/>
                      <w:szCs w:val="12"/>
                    </w:rPr>
                    <w:t>Propiedades</w:t>
                  </w:r>
                </w:p>
              </w:tc>
              <w:tc>
                <w:tcPr>
                  <w:tcW w:w="2024" w:type="dxa"/>
                  <w:shd w:val="clear" w:color="auto" w:fill="D9D9D9"/>
                </w:tcPr>
                <w:p w14:paraId="0DF92ED2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b/>
                      <w:sz w:val="12"/>
                      <w:szCs w:val="12"/>
                    </w:rPr>
                    <w:t xml:space="preserve">Método </w:t>
                  </w:r>
                </w:p>
              </w:tc>
              <w:tc>
                <w:tcPr>
                  <w:tcW w:w="2024" w:type="dxa"/>
                  <w:shd w:val="clear" w:color="auto" w:fill="D9D9D9"/>
                </w:tcPr>
                <w:p w14:paraId="2B85E969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b/>
                      <w:sz w:val="12"/>
                      <w:szCs w:val="12"/>
                    </w:rPr>
                    <w:t xml:space="preserve">Unidad </w:t>
                  </w:r>
                </w:p>
              </w:tc>
              <w:tc>
                <w:tcPr>
                  <w:tcW w:w="2024" w:type="dxa"/>
                  <w:shd w:val="clear" w:color="auto" w:fill="D9D9D9"/>
                </w:tcPr>
                <w:p w14:paraId="4B5820AF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b/>
                      <w:sz w:val="12"/>
                      <w:szCs w:val="12"/>
                    </w:rPr>
                    <w:t>Especificación</w:t>
                  </w:r>
                </w:p>
              </w:tc>
            </w:tr>
            <w:tr w:rsidR="0011505C" w:rsidRPr="00E3479B" w14:paraId="6AD614A3" w14:textId="77777777" w:rsidTr="0011505C">
              <w:trPr>
                <w:trHeight w:val="144"/>
              </w:trPr>
              <w:tc>
                <w:tcPr>
                  <w:tcW w:w="2024" w:type="dxa"/>
                  <w:gridSpan w:val="2"/>
                </w:tcPr>
                <w:p w14:paraId="5D1FB91C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Peso por metro cuadrado</w:t>
                  </w:r>
                </w:p>
              </w:tc>
              <w:tc>
                <w:tcPr>
                  <w:tcW w:w="2024" w:type="dxa"/>
                </w:tcPr>
                <w:p w14:paraId="250D4B5A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2024" w:type="dxa"/>
                </w:tcPr>
                <w:p w14:paraId="0A108FEB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Gr/m2</w:t>
                  </w:r>
                </w:p>
              </w:tc>
              <w:tc>
                <w:tcPr>
                  <w:tcW w:w="2024" w:type="dxa"/>
                </w:tcPr>
                <w:p w14:paraId="386DE424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 xml:space="preserve">610 ± 3 % </w:t>
                  </w:r>
                </w:p>
              </w:tc>
            </w:tr>
            <w:tr w:rsidR="0011505C" w:rsidRPr="00E3479B" w14:paraId="37AEEC1E" w14:textId="77777777" w:rsidTr="0011505C">
              <w:trPr>
                <w:trHeight w:val="176"/>
              </w:trPr>
              <w:tc>
                <w:tcPr>
                  <w:tcW w:w="2024" w:type="dxa"/>
                  <w:vMerge w:val="restart"/>
                </w:tcPr>
                <w:p w14:paraId="31E2B012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Resistencia a la Ruptura</w:t>
                  </w:r>
                </w:p>
              </w:tc>
              <w:tc>
                <w:tcPr>
                  <w:tcW w:w="2024" w:type="dxa"/>
                </w:tcPr>
                <w:p w14:paraId="608969F2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Pie</w:t>
                  </w:r>
                </w:p>
              </w:tc>
              <w:tc>
                <w:tcPr>
                  <w:tcW w:w="2024" w:type="dxa"/>
                </w:tcPr>
                <w:p w14:paraId="12B246BA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2024" w:type="dxa"/>
                </w:tcPr>
                <w:p w14:paraId="5C5010EE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Kgf</w:t>
                  </w:r>
                  <w:proofErr w:type="spellEnd"/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/cm</w:t>
                  </w:r>
                </w:p>
              </w:tc>
              <w:tc>
                <w:tcPr>
                  <w:tcW w:w="2024" w:type="dxa"/>
                </w:tcPr>
                <w:p w14:paraId="06A65F9E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33 ± 5 %</w:t>
                  </w:r>
                </w:p>
              </w:tc>
            </w:tr>
            <w:tr w:rsidR="0011505C" w:rsidRPr="00E3479B" w14:paraId="57E4ADE4" w14:textId="77777777" w:rsidTr="0011505C">
              <w:trPr>
                <w:trHeight w:val="66"/>
              </w:trPr>
              <w:tc>
                <w:tcPr>
                  <w:tcW w:w="2024" w:type="dxa"/>
                  <w:vMerge/>
                </w:tcPr>
                <w:p w14:paraId="4CA50BD2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</w:p>
              </w:tc>
              <w:tc>
                <w:tcPr>
                  <w:tcW w:w="2024" w:type="dxa"/>
                </w:tcPr>
                <w:p w14:paraId="72C357B8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Trama</w:t>
                  </w:r>
                </w:p>
              </w:tc>
              <w:tc>
                <w:tcPr>
                  <w:tcW w:w="2024" w:type="dxa"/>
                </w:tcPr>
                <w:p w14:paraId="4B092547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2024" w:type="dxa"/>
                </w:tcPr>
                <w:p w14:paraId="38E80350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Kgf</w:t>
                  </w:r>
                  <w:proofErr w:type="spellEnd"/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/cm</w:t>
                  </w:r>
                </w:p>
              </w:tc>
              <w:tc>
                <w:tcPr>
                  <w:tcW w:w="2024" w:type="dxa"/>
                </w:tcPr>
                <w:p w14:paraId="37D3EAD5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31 ± 5 %</w:t>
                  </w:r>
                </w:p>
              </w:tc>
            </w:tr>
            <w:tr w:rsidR="0011505C" w:rsidRPr="00E3479B" w14:paraId="450698C9" w14:textId="77777777" w:rsidTr="0011505C">
              <w:trPr>
                <w:trHeight w:val="208"/>
              </w:trPr>
              <w:tc>
                <w:tcPr>
                  <w:tcW w:w="2024" w:type="dxa"/>
                  <w:vMerge w:val="restart"/>
                </w:tcPr>
                <w:p w14:paraId="7AEFECB9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Resistencia al Rasgado</w:t>
                  </w:r>
                </w:p>
              </w:tc>
              <w:tc>
                <w:tcPr>
                  <w:tcW w:w="2024" w:type="dxa"/>
                </w:tcPr>
                <w:p w14:paraId="615980CC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Pie</w:t>
                  </w:r>
                </w:p>
              </w:tc>
              <w:tc>
                <w:tcPr>
                  <w:tcW w:w="2024" w:type="dxa"/>
                </w:tcPr>
                <w:p w14:paraId="41AEFB3C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2024" w:type="dxa"/>
                </w:tcPr>
                <w:p w14:paraId="70E90090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Kgf</w:t>
                  </w:r>
                  <w:proofErr w:type="spellEnd"/>
                </w:p>
              </w:tc>
              <w:tc>
                <w:tcPr>
                  <w:tcW w:w="2024" w:type="dxa"/>
                </w:tcPr>
                <w:p w14:paraId="35C7975D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41 ± 5 %</w:t>
                  </w:r>
                </w:p>
              </w:tc>
            </w:tr>
            <w:tr w:rsidR="0011505C" w:rsidRPr="00E3479B" w14:paraId="5F8C8377" w14:textId="77777777" w:rsidTr="0011505C">
              <w:trPr>
                <w:trHeight w:val="127"/>
              </w:trPr>
              <w:tc>
                <w:tcPr>
                  <w:tcW w:w="2024" w:type="dxa"/>
                  <w:vMerge/>
                </w:tcPr>
                <w:p w14:paraId="2920343B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</w:p>
              </w:tc>
              <w:tc>
                <w:tcPr>
                  <w:tcW w:w="2024" w:type="dxa"/>
                </w:tcPr>
                <w:p w14:paraId="538093C6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Trama</w:t>
                  </w:r>
                </w:p>
              </w:tc>
              <w:tc>
                <w:tcPr>
                  <w:tcW w:w="2024" w:type="dxa"/>
                </w:tcPr>
                <w:p w14:paraId="06B1F2B1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2024" w:type="dxa"/>
                </w:tcPr>
                <w:p w14:paraId="73B82905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Kgf</w:t>
                  </w:r>
                  <w:proofErr w:type="spellEnd"/>
                </w:p>
              </w:tc>
              <w:tc>
                <w:tcPr>
                  <w:tcW w:w="2024" w:type="dxa"/>
                </w:tcPr>
                <w:p w14:paraId="7B0A91E9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39 ± 5 %</w:t>
                  </w:r>
                </w:p>
              </w:tc>
            </w:tr>
            <w:tr w:rsidR="0011505C" w:rsidRPr="00E3479B" w14:paraId="7A7FA5B7" w14:textId="77777777" w:rsidTr="0011505C">
              <w:trPr>
                <w:trHeight w:val="114"/>
              </w:trPr>
              <w:tc>
                <w:tcPr>
                  <w:tcW w:w="2024" w:type="dxa"/>
                  <w:gridSpan w:val="2"/>
                </w:tcPr>
                <w:p w14:paraId="2C9C54C2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 xml:space="preserve">Adhesión </w:t>
                  </w:r>
                </w:p>
              </w:tc>
              <w:tc>
                <w:tcPr>
                  <w:tcW w:w="2024" w:type="dxa"/>
                </w:tcPr>
                <w:p w14:paraId="046C58DE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CA-IT-001</w:t>
                  </w:r>
                </w:p>
              </w:tc>
              <w:tc>
                <w:tcPr>
                  <w:tcW w:w="2024" w:type="dxa"/>
                </w:tcPr>
                <w:p w14:paraId="4B99ED94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Kgf</w:t>
                  </w:r>
                  <w:proofErr w:type="spellEnd"/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/cm</w:t>
                  </w:r>
                </w:p>
              </w:tc>
              <w:tc>
                <w:tcPr>
                  <w:tcW w:w="2024" w:type="dxa"/>
                </w:tcPr>
                <w:p w14:paraId="6B3C11B1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&gt; 3.5</w:t>
                  </w:r>
                </w:p>
              </w:tc>
            </w:tr>
            <w:tr w:rsidR="0011505C" w:rsidRPr="00E3479B" w14:paraId="5088AFF5" w14:textId="77777777" w:rsidTr="0011505C">
              <w:trPr>
                <w:trHeight w:val="102"/>
              </w:trPr>
              <w:tc>
                <w:tcPr>
                  <w:tcW w:w="2024" w:type="dxa"/>
                  <w:gridSpan w:val="2"/>
                </w:tcPr>
                <w:p w14:paraId="0E054569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 xml:space="preserve">Espesor </w:t>
                  </w:r>
                </w:p>
              </w:tc>
              <w:tc>
                <w:tcPr>
                  <w:tcW w:w="2024" w:type="dxa"/>
                </w:tcPr>
                <w:p w14:paraId="7B447E38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CA-IT-005</w:t>
                  </w:r>
                </w:p>
              </w:tc>
              <w:tc>
                <w:tcPr>
                  <w:tcW w:w="2024" w:type="dxa"/>
                </w:tcPr>
                <w:p w14:paraId="0DAB2993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mm</w:t>
                  </w:r>
                </w:p>
              </w:tc>
              <w:tc>
                <w:tcPr>
                  <w:tcW w:w="2024" w:type="dxa"/>
                </w:tcPr>
                <w:p w14:paraId="7A66B05C" w14:textId="77777777" w:rsidR="0093691A" w:rsidRPr="0011505C" w:rsidRDefault="0093691A" w:rsidP="0093691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11505C">
                    <w:rPr>
                      <w:rFonts w:ascii="Calibri" w:hAnsi="Calibri" w:cs="Calibri"/>
                      <w:sz w:val="12"/>
                      <w:szCs w:val="12"/>
                    </w:rPr>
                    <w:t>.55 ± 5 %</w:t>
                  </w:r>
                </w:p>
              </w:tc>
            </w:tr>
          </w:tbl>
          <w:p w14:paraId="24733D0D" w14:textId="71BFCDAC" w:rsidR="0093691A" w:rsidRPr="00F032A9" w:rsidRDefault="0093691A" w:rsidP="009369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364" w:type="pct"/>
            <w:vAlign w:val="center"/>
          </w:tcPr>
          <w:p w14:paraId="73F9E693" w14:textId="03B42F5B" w:rsidR="0093691A" w:rsidRPr="00964CC4" w:rsidRDefault="0093691A" w:rsidP="0093691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Pieza</w:t>
            </w:r>
          </w:p>
        </w:tc>
        <w:tc>
          <w:tcPr>
            <w:tcW w:w="363" w:type="pct"/>
            <w:vAlign w:val="center"/>
          </w:tcPr>
          <w:p w14:paraId="550F80D9" w14:textId="77777777" w:rsidR="0093691A" w:rsidRPr="00964CC4" w:rsidRDefault="0093691A" w:rsidP="0093691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</w:t>
            </w:r>
          </w:p>
        </w:tc>
        <w:tc>
          <w:tcPr>
            <w:tcW w:w="436" w:type="pct"/>
            <w:vAlign w:val="center"/>
          </w:tcPr>
          <w:p w14:paraId="42E7337B" w14:textId="2AA8F459" w:rsidR="0093691A" w:rsidRPr="000F5B05" w:rsidRDefault="0093691A" w:rsidP="0093691A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3691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JORGE ARMANDO ALBERTOS GONZÁLEZ</w:t>
            </w:r>
          </w:p>
        </w:tc>
        <w:tc>
          <w:tcPr>
            <w:tcW w:w="507" w:type="pct"/>
            <w:vAlign w:val="center"/>
          </w:tcPr>
          <w:p w14:paraId="0C5D844C" w14:textId="0B9820BF" w:rsidR="0093691A" w:rsidRPr="0093691A" w:rsidRDefault="0093691A" w:rsidP="0093691A">
            <w:pPr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93691A">
              <w:rPr>
                <w:rFonts w:asciiTheme="minorHAnsi" w:hAnsiTheme="minorHAnsi" w:cstheme="minorHAnsi"/>
                <w:sz w:val="12"/>
                <w:szCs w:val="12"/>
              </w:rPr>
              <w:t>$ 387,600.00</w:t>
            </w:r>
          </w:p>
        </w:tc>
        <w:tc>
          <w:tcPr>
            <w:tcW w:w="436" w:type="pct"/>
            <w:vAlign w:val="center"/>
          </w:tcPr>
          <w:p w14:paraId="4ECEF0F4" w14:textId="6653CF9C" w:rsidR="0093691A" w:rsidRPr="0093691A" w:rsidRDefault="0093691A" w:rsidP="0093691A">
            <w:pPr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93691A">
              <w:rPr>
                <w:rFonts w:asciiTheme="minorHAnsi" w:hAnsiTheme="minorHAnsi" w:cstheme="minorHAnsi"/>
                <w:sz w:val="12"/>
                <w:szCs w:val="12"/>
              </w:rPr>
              <w:t>$ 387,600.00</w:t>
            </w:r>
          </w:p>
        </w:tc>
      </w:tr>
      <w:tr w:rsidR="0011505C" w:rsidRPr="00964CC4" w14:paraId="1B312E20" w14:textId="77777777" w:rsidTr="00787530">
        <w:trPr>
          <w:trHeight w:val="3677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0A174B3F" w14:textId="0C5565F0" w:rsidR="0093691A" w:rsidRPr="00964CC4" w:rsidRDefault="0093691A" w:rsidP="0093691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</w:t>
            </w:r>
          </w:p>
        </w:tc>
        <w:tc>
          <w:tcPr>
            <w:tcW w:w="2542" w:type="pct"/>
            <w:vAlign w:val="center"/>
          </w:tcPr>
          <w:p w14:paraId="73072880" w14:textId="77777777" w:rsidR="0093691A" w:rsidRPr="000871AD" w:rsidRDefault="0093691A" w:rsidP="0093691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871A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LONA GRIS CLARO 18 OZ NACIONAL MEDIDA 4.80 X 1.50 MT (200 PZA) </w:t>
            </w:r>
          </w:p>
          <w:p w14:paraId="74A9B4D4" w14:textId="77777777" w:rsidR="0093691A" w:rsidRPr="000871AD" w:rsidRDefault="0093691A" w:rsidP="0093691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AD">
              <w:rPr>
                <w:rFonts w:asciiTheme="minorHAnsi" w:hAnsiTheme="minorHAnsi" w:cstheme="minorHAnsi"/>
                <w:sz w:val="14"/>
                <w:szCs w:val="14"/>
              </w:rPr>
              <w:t>INCLUYE BASTILLA Y OJILLOS</w:t>
            </w:r>
          </w:p>
          <w:p w14:paraId="2D8B0C72" w14:textId="77777777" w:rsidR="0093691A" w:rsidRPr="000871AD" w:rsidRDefault="0093691A" w:rsidP="0093691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A694CC0" w14:textId="77777777" w:rsidR="0093691A" w:rsidRPr="000871AD" w:rsidRDefault="0093691A" w:rsidP="009369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AD">
              <w:rPr>
                <w:rFonts w:asciiTheme="minorHAnsi" w:hAnsiTheme="minorHAnsi" w:cstheme="minorHAnsi"/>
                <w:sz w:val="14"/>
                <w:szCs w:val="14"/>
              </w:rPr>
              <w:t>2 años de garantía</w:t>
            </w:r>
          </w:p>
          <w:p w14:paraId="44B24BB3" w14:textId="77777777" w:rsidR="0093691A" w:rsidRPr="000871AD" w:rsidRDefault="0093691A" w:rsidP="009369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4"/>
                <w:szCs w:val="14"/>
              </w:rPr>
            </w:pPr>
          </w:p>
          <w:p w14:paraId="070EE5BA" w14:textId="77777777" w:rsidR="0093691A" w:rsidRPr="000871AD" w:rsidRDefault="0093691A" w:rsidP="009369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0871AD">
              <w:rPr>
                <w:rFonts w:asciiTheme="minorHAnsi" w:hAnsiTheme="minorHAnsi"/>
                <w:sz w:val="14"/>
                <w:szCs w:val="14"/>
              </w:rPr>
              <w:t xml:space="preserve">Tipo tejido: Tejido </w:t>
            </w:r>
            <w:proofErr w:type="gramStart"/>
            <w:r w:rsidRPr="000871AD">
              <w:rPr>
                <w:rFonts w:asciiTheme="minorHAnsi" w:hAnsiTheme="minorHAnsi"/>
                <w:sz w:val="14"/>
                <w:szCs w:val="14"/>
              </w:rPr>
              <w:t>plano;M</w:t>
            </w:r>
            <w:proofErr w:type="gramEnd"/>
            <w:r w:rsidRPr="000871AD">
              <w:rPr>
                <w:rFonts w:asciiTheme="minorHAnsi" w:hAnsiTheme="minorHAnsi"/>
                <w:sz w:val="14"/>
                <w:szCs w:val="14"/>
              </w:rPr>
              <w:t>-14-1000.</w:t>
            </w:r>
          </w:p>
          <w:p w14:paraId="618FBFEC" w14:textId="77777777" w:rsidR="0093691A" w:rsidRPr="000871AD" w:rsidRDefault="0093691A" w:rsidP="009369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AD">
              <w:rPr>
                <w:rFonts w:asciiTheme="minorHAnsi" w:hAnsiTheme="minorHAnsi"/>
                <w:sz w:val="14"/>
                <w:szCs w:val="14"/>
              </w:rPr>
              <w:t>Cuenta: 14 X 14 hilos/</w:t>
            </w:r>
            <w:proofErr w:type="spellStart"/>
            <w:r w:rsidRPr="000871AD">
              <w:rPr>
                <w:rFonts w:asciiTheme="minorHAnsi" w:hAnsiTheme="minorHAnsi"/>
                <w:sz w:val="14"/>
                <w:szCs w:val="14"/>
              </w:rPr>
              <w:t>plg</w:t>
            </w:r>
            <w:proofErr w:type="spellEnd"/>
            <w:r w:rsidRPr="000871AD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 w:rsidRPr="000871AD">
              <w:rPr>
                <w:rFonts w:asciiTheme="minorHAnsi" w:hAnsiTheme="minorHAnsi"/>
                <w:sz w:val="14"/>
                <w:szCs w:val="14"/>
              </w:rPr>
              <w:t>ó</w:t>
            </w:r>
            <w:proofErr w:type="spellEnd"/>
            <w:r w:rsidRPr="000871AD">
              <w:rPr>
                <w:rFonts w:asciiTheme="minorHAnsi" w:hAnsiTheme="minorHAnsi"/>
                <w:sz w:val="14"/>
                <w:szCs w:val="14"/>
              </w:rPr>
              <w:t xml:space="preserve"> 5.5 x 5.5 hilos/cm.</w:t>
            </w:r>
          </w:p>
          <w:p w14:paraId="62C2B924" w14:textId="77777777" w:rsidR="0093691A" w:rsidRPr="000871AD" w:rsidRDefault="0093691A" w:rsidP="009369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44061" w:themeColor="accent1" w:themeShade="80"/>
                <w:sz w:val="14"/>
                <w:szCs w:val="14"/>
              </w:rPr>
            </w:pPr>
            <w:r w:rsidRPr="000871AD">
              <w:rPr>
                <w:rFonts w:asciiTheme="minorHAnsi" w:hAnsiTheme="minorHAnsi"/>
                <w:sz w:val="14"/>
                <w:szCs w:val="14"/>
              </w:rPr>
              <w:t>Fibra: Polyester.</w:t>
            </w:r>
          </w:p>
          <w:p w14:paraId="6345964F" w14:textId="77777777" w:rsidR="0093691A" w:rsidRPr="000871AD" w:rsidRDefault="0093691A" w:rsidP="009369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0871AD">
              <w:rPr>
                <w:rFonts w:asciiTheme="minorHAnsi" w:hAnsiTheme="minorHAnsi"/>
                <w:sz w:val="14"/>
                <w:szCs w:val="14"/>
              </w:rPr>
              <w:t>Denier: 1000.</w:t>
            </w:r>
          </w:p>
          <w:p w14:paraId="7FA434AE" w14:textId="77777777" w:rsidR="0093691A" w:rsidRPr="000871AD" w:rsidRDefault="0093691A" w:rsidP="009369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0871AD">
              <w:rPr>
                <w:rFonts w:asciiTheme="minorHAnsi" w:hAnsiTheme="minorHAnsi"/>
                <w:sz w:val="14"/>
                <w:szCs w:val="14"/>
              </w:rPr>
              <w:t xml:space="preserve">Cuenta con protector UV y con </w:t>
            </w:r>
            <w:proofErr w:type="spellStart"/>
            <w:r w:rsidRPr="000871AD">
              <w:rPr>
                <w:rFonts w:asciiTheme="minorHAnsi" w:hAnsiTheme="minorHAnsi"/>
                <w:sz w:val="14"/>
                <w:szCs w:val="14"/>
              </w:rPr>
              <w:t>retardante</w:t>
            </w:r>
            <w:proofErr w:type="spellEnd"/>
            <w:r w:rsidRPr="000871AD">
              <w:rPr>
                <w:rFonts w:asciiTheme="minorHAnsi" w:hAnsiTheme="minorHAnsi"/>
                <w:sz w:val="14"/>
                <w:szCs w:val="14"/>
              </w:rPr>
              <w:t xml:space="preserve"> al hongo.</w:t>
            </w:r>
          </w:p>
          <w:p w14:paraId="5985EB33" w14:textId="77777777" w:rsidR="0093691A" w:rsidRDefault="0093691A" w:rsidP="009369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44061" w:themeColor="accent1" w:themeShade="80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954"/>
              <w:gridCol w:w="953"/>
              <w:gridCol w:w="953"/>
              <w:gridCol w:w="953"/>
            </w:tblGrid>
            <w:tr w:rsidR="0011505C" w14:paraId="1CC0CC58" w14:textId="77777777" w:rsidTr="0011505C">
              <w:trPr>
                <w:trHeight w:val="134"/>
              </w:trPr>
              <w:tc>
                <w:tcPr>
                  <w:tcW w:w="1906" w:type="dxa"/>
                  <w:gridSpan w:val="2"/>
                  <w:shd w:val="clear" w:color="auto" w:fill="D9D9D9" w:themeFill="background1" w:themeFillShade="D9"/>
                </w:tcPr>
                <w:p w14:paraId="019CE444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Propiedades</w:t>
                  </w:r>
                </w:p>
              </w:tc>
              <w:tc>
                <w:tcPr>
                  <w:tcW w:w="953" w:type="dxa"/>
                  <w:shd w:val="clear" w:color="auto" w:fill="D9D9D9" w:themeFill="background1" w:themeFillShade="D9"/>
                </w:tcPr>
                <w:p w14:paraId="7AEDA4EB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Método </w:t>
                  </w:r>
                </w:p>
              </w:tc>
              <w:tc>
                <w:tcPr>
                  <w:tcW w:w="953" w:type="dxa"/>
                  <w:shd w:val="clear" w:color="auto" w:fill="D9D9D9" w:themeFill="background1" w:themeFillShade="D9"/>
                </w:tcPr>
                <w:p w14:paraId="09DCCFA0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Unidad </w:t>
                  </w:r>
                </w:p>
              </w:tc>
              <w:tc>
                <w:tcPr>
                  <w:tcW w:w="953" w:type="dxa"/>
                  <w:shd w:val="clear" w:color="auto" w:fill="D9D9D9" w:themeFill="background1" w:themeFillShade="D9"/>
                </w:tcPr>
                <w:p w14:paraId="7715DCB4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Especificación</w:t>
                  </w:r>
                </w:p>
              </w:tc>
            </w:tr>
            <w:tr w:rsidR="0011505C" w14:paraId="08829DF1" w14:textId="77777777" w:rsidTr="0011505C">
              <w:trPr>
                <w:trHeight w:val="125"/>
              </w:trPr>
              <w:tc>
                <w:tcPr>
                  <w:tcW w:w="1906" w:type="dxa"/>
                  <w:gridSpan w:val="2"/>
                </w:tcPr>
                <w:p w14:paraId="2B6C15A0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Peso por metro cuadrado</w:t>
                  </w:r>
                </w:p>
              </w:tc>
              <w:tc>
                <w:tcPr>
                  <w:tcW w:w="953" w:type="dxa"/>
                </w:tcPr>
                <w:p w14:paraId="6C8663CE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953" w:type="dxa"/>
                </w:tcPr>
                <w:p w14:paraId="7AAFB704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Gr/m2</w:t>
                  </w:r>
                </w:p>
              </w:tc>
              <w:tc>
                <w:tcPr>
                  <w:tcW w:w="953" w:type="dxa"/>
                </w:tcPr>
                <w:p w14:paraId="420D04EC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610 ± 3 % </w:t>
                  </w:r>
                </w:p>
              </w:tc>
            </w:tr>
            <w:tr w:rsidR="0093691A" w14:paraId="4F28716C" w14:textId="77777777" w:rsidTr="0011505C">
              <w:trPr>
                <w:trHeight w:val="134"/>
              </w:trPr>
              <w:tc>
                <w:tcPr>
                  <w:tcW w:w="952" w:type="dxa"/>
                  <w:vMerge w:val="restart"/>
                </w:tcPr>
                <w:p w14:paraId="15F1CF9D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Resistencia a la Ruptura</w:t>
                  </w:r>
                </w:p>
              </w:tc>
              <w:tc>
                <w:tcPr>
                  <w:tcW w:w="953" w:type="dxa"/>
                </w:tcPr>
                <w:p w14:paraId="78B68230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Pie</w:t>
                  </w:r>
                </w:p>
              </w:tc>
              <w:tc>
                <w:tcPr>
                  <w:tcW w:w="953" w:type="dxa"/>
                </w:tcPr>
                <w:p w14:paraId="0CAD6892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953" w:type="dxa"/>
                </w:tcPr>
                <w:p w14:paraId="739169B3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Kgf</w:t>
                  </w:r>
                  <w:proofErr w:type="spellEnd"/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/cm</w:t>
                  </w:r>
                </w:p>
              </w:tc>
              <w:tc>
                <w:tcPr>
                  <w:tcW w:w="953" w:type="dxa"/>
                </w:tcPr>
                <w:p w14:paraId="2C90EEDD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33 ± 5 %</w:t>
                  </w:r>
                </w:p>
              </w:tc>
            </w:tr>
            <w:tr w:rsidR="0093691A" w14:paraId="1E70D052" w14:textId="77777777" w:rsidTr="0011505C">
              <w:trPr>
                <w:trHeight w:val="134"/>
              </w:trPr>
              <w:tc>
                <w:tcPr>
                  <w:tcW w:w="952" w:type="dxa"/>
                  <w:vMerge/>
                </w:tcPr>
                <w:p w14:paraId="5D940D9B" w14:textId="77777777" w:rsidR="0093691A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</w:tcPr>
                <w:p w14:paraId="13DAD731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Trama</w:t>
                  </w:r>
                </w:p>
              </w:tc>
              <w:tc>
                <w:tcPr>
                  <w:tcW w:w="953" w:type="dxa"/>
                </w:tcPr>
                <w:p w14:paraId="4D7E2B25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953" w:type="dxa"/>
                </w:tcPr>
                <w:p w14:paraId="7C4A1B0E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Kgf</w:t>
                  </w:r>
                  <w:proofErr w:type="spellEnd"/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/cm</w:t>
                  </w:r>
                </w:p>
              </w:tc>
              <w:tc>
                <w:tcPr>
                  <w:tcW w:w="953" w:type="dxa"/>
                </w:tcPr>
                <w:p w14:paraId="41FCE883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31 ± 5 %</w:t>
                  </w:r>
                </w:p>
              </w:tc>
            </w:tr>
            <w:tr w:rsidR="0093691A" w14:paraId="25B9786D" w14:textId="77777777" w:rsidTr="0011505C">
              <w:trPr>
                <w:trHeight w:val="134"/>
              </w:trPr>
              <w:tc>
                <w:tcPr>
                  <w:tcW w:w="952" w:type="dxa"/>
                  <w:vMerge w:val="restart"/>
                </w:tcPr>
                <w:p w14:paraId="68F48E63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Resistencia al Rasgado</w:t>
                  </w:r>
                </w:p>
              </w:tc>
              <w:tc>
                <w:tcPr>
                  <w:tcW w:w="953" w:type="dxa"/>
                </w:tcPr>
                <w:p w14:paraId="09075970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Pie</w:t>
                  </w:r>
                </w:p>
              </w:tc>
              <w:tc>
                <w:tcPr>
                  <w:tcW w:w="953" w:type="dxa"/>
                </w:tcPr>
                <w:p w14:paraId="79FEDF9F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953" w:type="dxa"/>
                </w:tcPr>
                <w:p w14:paraId="41D5D0F8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Kgf</w:t>
                  </w:r>
                  <w:proofErr w:type="spellEnd"/>
                </w:p>
              </w:tc>
              <w:tc>
                <w:tcPr>
                  <w:tcW w:w="953" w:type="dxa"/>
                </w:tcPr>
                <w:p w14:paraId="42BE9DD3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41 ± 5 %</w:t>
                  </w:r>
                </w:p>
              </w:tc>
            </w:tr>
            <w:tr w:rsidR="0093691A" w14:paraId="15CE3ADD" w14:textId="77777777" w:rsidTr="0011505C">
              <w:trPr>
                <w:trHeight w:val="134"/>
              </w:trPr>
              <w:tc>
                <w:tcPr>
                  <w:tcW w:w="952" w:type="dxa"/>
                  <w:vMerge/>
                </w:tcPr>
                <w:p w14:paraId="574DC018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953" w:type="dxa"/>
                </w:tcPr>
                <w:p w14:paraId="5CCF3208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Trama</w:t>
                  </w:r>
                </w:p>
              </w:tc>
              <w:tc>
                <w:tcPr>
                  <w:tcW w:w="953" w:type="dxa"/>
                </w:tcPr>
                <w:p w14:paraId="13BF4A88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ASTM D-751</w:t>
                  </w:r>
                </w:p>
              </w:tc>
              <w:tc>
                <w:tcPr>
                  <w:tcW w:w="953" w:type="dxa"/>
                </w:tcPr>
                <w:p w14:paraId="2C9AECEB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Kgf</w:t>
                  </w:r>
                  <w:proofErr w:type="spellEnd"/>
                </w:p>
              </w:tc>
              <w:tc>
                <w:tcPr>
                  <w:tcW w:w="953" w:type="dxa"/>
                </w:tcPr>
                <w:p w14:paraId="4E7FBEF9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39 ± 5 %</w:t>
                  </w:r>
                </w:p>
              </w:tc>
            </w:tr>
            <w:tr w:rsidR="0011505C" w14:paraId="78B4350A" w14:textId="77777777" w:rsidTr="0011505C">
              <w:trPr>
                <w:trHeight w:val="125"/>
              </w:trPr>
              <w:tc>
                <w:tcPr>
                  <w:tcW w:w="1906" w:type="dxa"/>
                  <w:gridSpan w:val="2"/>
                </w:tcPr>
                <w:p w14:paraId="23B4F30C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Adhesión </w:t>
                  </w:r>
                </w:p>
              </w:tc>
              <w:tc>
                <w:tcPr>
                  <w:tcW w:w="953" w:type="dxa"/>
                </w:tcPr>
                <w:p w14:paraId="6FDCE720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CA-IT-001</w:t>
                  </w:r>
                </w:p>
              </w:tc>
              <w:tc>
                <w:tcPr>
                  <w:tcW w:w="953" w:type="dxa"/>
                </w:tcPr>
                <w:p w14:paraId="089BB9AE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Kgf</w:t>
                  </w:r>
                  <w:proofErr w:type="spellEnd"/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/cm</w:t>
                  </w:r>
                </w:p>
              </w:tc>
              <w:tc>
                <w:tcPr>
                  <w:tcW w:w="953" w:type="dxa"/>
                </w:tcPr>
                <w:p w14:paraId="592EEFD9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&gt; 3.5</w:t>
                  </w:r>
                </w:p>
              </w:tc>
            </w:tr>
            <w:tr w:rsidR="0011505C" w14:paraId="1CDC13FA" w14:textId="77777777" w:rsidTr="0011505C">
              <w:trPr>
                <w:trHeight w:val="134"/>
              </w:trPr>
              <w:tc>
                <w:tcPr>
                  <w:tcW w:w="1906" w:type="dxa"/>
                  <w:gridSpan w:val="2"/>
                </w:tcPr>
                <w:p w14:paraId="3463BF56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Espesor </w:t>
                  </w:r>
                </w:p>
              </w:tc>
              <w:tc>
                <w:tcPr>
                  <w:tcW w:w="953" w:type="dxa"/>
                </w:tcPr>
                <w:p w14:paraId="71B02613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CA-IT-005</w:t>
                  </w:r>
                </w:p>
              </w:tc>
              <w:tc>
                <w:tcPr>
                  <w:tcW w:w="953" w:type="dxa"/>
                </w:tcPr>
                <w:p w14:paraId="0DB18CF5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mm</w:t>
                  </w:r>
                </w:p>
              </w:tc>
              <w:tc>
                <w:tcPr>
                  <w:tcW w:w="953" w:type="dxa"/>
                </w:tcPr>
                <w:p w14:paraId="6F7955C3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11505C">
                    <w:rPr>
                      <w:rFonts w:asciiTheme="minorHAnsi" w:hAnsiTheme="minorHAnsi" w:cstheme="minorHAnsi"/>
                      <w:sz w:val="12"/>
                      <w:szCs w:val="12"/>
                    </w:rPr>
                    <w:t>.55 ± 5 %</w:t>
                  </w:r>
                </w:p>
              </w:tc>
            </w:tr>
            <w:tr w:rsidR="0011505C" w14:paraId="5BA0A881" w14:textId="77777777" w:rsidTr="0011505C">
              <w:trPr>
                <w:trHeight w:val="125"/>
              </w:trPr>
              <w:tc>
                <w:tcPr>
                  <w:tcW w:w="1906" w:type="dxa"/>
                  <w:gridSpan w:val="2"/>
                </w:tcPr>
                <w:p w14:paraId="41F7144B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953" w:type="dxa"/>
                </w:tcPr>
                <w:p w14:paraId="3ED25D1C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953" w:type="dxa"/>
                </w:tcPr>
                <w:p w14:paraId="274AC92D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953" w:type="dxa"/>
                </w:tcPr>
                <w:p w14:paraId="7B147A31" w14:textId="77777777" w:rsidR="0093691A" w:rsidRPr="0011505C" w:rsidRDefault="0093691A" w:rsidP="0093691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</w:tbl>
          <w:p w14:paraId="3AAE6683" w14:textId="2BE17BCB" w:rsidR="0093691A" w:rsidRPr="00964CC4" w:rsidRDefault="0093691A" w:rsidP="0093691A">
            <w:pPr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364" w:type="pct"/>
            <w:vAlign w:val="center"/>
          </w:tcPr>
          <w:p w14:paraId="4F9F7306" w14:textId="3D8B76ED" w:rsidR="0093691A" w:rsidRPr="00964CC4" w:rsidRDefault="0093691A" w:rsidP="0093691A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E10337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Pieza</w:t>
            </w:r>
          </w:p>
        </w:tc>
        <w:tc>
          <w:tcPr>
            <w:tcW w:w="363" w:type="pct"/>
            <w:vAlign w:val="center"/>
          </w:tcPr>
          <w:p w14:paraId="330C994D" w14:textId="01EFF24C" w:rsidR="0093691A" w:rsidRPr="00964CC4" w:rsidRDefault="0093691A" w:rsidP="0093691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436" w:type="pct"/>
            <w:vAlign w:val="center"/>
          </w:tcPr>
          <w:p w14:paraId="552DFECA" w14:textId="31CC60AE" w:rsidR="0093691A" w:rsidRPr="000F5B05" w:rsidRDefault="0093691A" w:rsidP="0093691A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3691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JORGE ARMANDO ALBERTOS GONZÁLEZ</w:t>
            </w:r>
          </w:p>
        </w:tc>
        <w:tc>
          <w:tcPr>
            <w:tcW w:w="507" w:type="pct"/>
            <w:vAlign w:val="center"/>
          </w:tcPr>
          <w:p w14:paraId="609477F4" w14:textId="7017E9FC" w:rsidR="0093691A" w:rsidRPr="0093691A" w:rsidRDefault="0093691A" w:rsidP="0093691A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3691A">
              <w:rPr>
                <w:rFonts w:asciiTheme="minorHAnsi" w:hAnsiTheme="minorHAnsi" w:cstheme="minorHAnsi"/>
                <w:sz w:val="12"/>
                <w:szCs w:val="12"/>
              </w:rPr>
              <w:t>$ 237,800.00</w:t>
            </w:r>
          </w:p>
        </w:tc>
        <w:tc>
          <w:tcPr>
            <w:tcW w:w="436" w:type="pct"/>
            <w:vAlign w:val="center"/>
          </w:tcPr>
          <w:p w14:paraId="0561FCF0" w14:textId="06689EBA" w:rsidR="0093691A" w:rsidRPr="0093691A" w:rsidRDefault="0093691A" w:rsidP="0093691A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3691A">
              <w:rPr>
                <w:rFonts w:asciiTheme="minorHAnsi" w:hAnsiTheme="minorHAnsi" w:cstheme="minorHAnsi"/>
                <w:sz w:val="12"/>
                <w:szCs w:val="12"/>
              </w:rPr>
              <w:t>$ 237,800.00</w:t>
            </w:r>
          </w:p>
        </w:tc>
      </w:tr>
      <w:tr w:rsidR="0011505C" w:rsidRPr="00964CC4" w14:paraId="5F1FED3D" w14:textId="77777777" w:rsidTr="0011505C">
        <w:trPr>
          <w:trHeight w:val="136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48C3382C" w14:textId="360BC383" w:rsidR="006A51D1" w:rsidRPr="00964CC4" w:rsidRDefault="006A51D1" w:rsidP="006A51D1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17</w:t>
            </w:r>
          </w:p>
        </w:tc>
        <w:tc>
          <w:tcPr>
            <w:tcW w:w="2542" w:type="pct"/>
            <w:shd w:val="clear" w:color="auto" w:fill="auto"/>
            <w:vAlign w:val="center"/>
          </w:tcPr>
          <w:p w14:paraId="52B0FD3B" w14:textId="77777777" w:rsidR="006A51D1" w:rsidRDefault="006A51D1" w:rsidP="006A5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4DD936E" w14:textId="77777777" w:rsidR="006A51D1" w:rsidRPr="000871AD" w:rsidRDefault="006A51D1" w:rsidP="006A5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AD">
              <w:rPr>
                <w:rFonts w:asciiTheme="minorHAnsi" w:hAnsiTheme="minorHAnsi" w:cstheme="minorHAnsi"/>
                <w:b/>
                <w:sz w:val="14"/>
                <w:szCs w:val="14"/>
              </w:rPr>
              <w:t>TOLDOS ENROLLABELS AUTOMATIZADOS CON LONA BLANCA BLACK OUT 680.3</w:t>
            </w:r>
            <w:r w:rsidRPr="000871A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436D838E" w14:textId="18BCDDB3" w:rsidR="006A51D1" w:rsidRPr="000871AD" w:rsidRDefault="006A51D1" w:rsidP="006A5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AD">
              <w:rPr>
                <w:rFonts w:asciiTheme="minorHAnsi" w:hAnsiTheme="minorHAnsi" w:cstheme="minorHAnsi"/>
                <w:sz w:val="14"/>
                <w:szCs w:val="14"/>
              </w:rPr>
              <w:t xml:space="preserve">Toldos en vista oriente y 3 en vista poniente de la techumbre del </w:t>
            </w:r>
            <w:proofErr w:type="spellStart"/>
            <w:r w:rsidRPr="000871AD">
              <w:rPr>
                <w:rFonts w:asciiTheme="minorHAnsi" w:hAnsiTheme="minorHAnsi" w:cstheme="minorHAnsi"/>
                <w:sz w:val="14"/>
                <w:szCs w:val="14"/>
              </w:rPr>
              <w:t>Salon</w:t>
            </w:r>
            <w:proofErr w:type="spellEnd"/>
            <w:r w:rsidRPr="000871AD">
              <w:rPr>
                <w:rFonts w:asciiTheme="minorHAnsi" w:hAnsiTheme="minorHAnsi" w:cstheme="minorHAnsi"/>
                <w:sz w:val="14"/>
                <w:szCs w:val="14"/>
              </w:rPr>
              <w:t xml:space="preserve"> Universitario de Usos </w:t>
            </w:r>
            <w:proofErr w:type="spellStart"/>
            <w:r w:rsidRPr="000871AD">
              <w:rPr>
                <w:rFonts w:asciiTheme="minorHAnsi" w:hAnsiTheme="minorHAnsi" w:cstheme="minorHAnsi"/>
                <w:sz w:val="14"/>
                <w:szCs w:val="14"/>
              </w:rPr>
              <w:t>Multiples</w:t>
            </w:r>
            <w:proofErr w:type="spellEnd"/>
            <w:r w:rsidRPr="000871AD">
              <w:rPr>
                <w:rFonts w:asciiTheme="minorHAnsi" w:hAnsiTheme="minorHAnsi" w:cstheme="minorHAnsi"/>
                <w:sz w:val="14"/>
                <w:szCs w:val="14"/>
              </w:rPr>
              <w:t xml:space="preserve"> cada uno en medida de 5.70 MT de largo y 3.85 MT de altura. Con </w:t>
            </w:r>
            <w:r w:rsidRPr="000871AD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motor bidireccional de importación, compatibles con sistema de automatización, alimentación 110V/50HZ</w:t>
            </w:r>
          </w:p>
          <w:p w14:paraId="5B5CB8F3" w14:textId="77777777" w:rsidR="006A51D1" w:rsidRPr="000871AD" w:rsidRDefault="006A51D1" w:rsidP="006A5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F301E5E" w14:textId="19AF85CD" w:rsidR="006A51D1" w:rsidRPr="000871AD" w:rsidRDefault="006A51D1" w:rsidP="006A5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0871AD">
              <w:rPr>
                <w:rFonts w:asciiTheme="minorHAnsi" w:hAnsiTheme="minorHAnsi" w:cstheme="minorHAnsi"/>
                <w:sz w:val="14"/>
                <w:szCs w:val="14"/>
              </w:rPr>
              <w:t xml:space="preserve">Suministro e Instalación, 3 Años de Garantía, Enrollables, con Elementos de Fijación para Postes existentes. </w:t>
            </w:r>
          </w:p>
          <w:p w14:paraId="4409B8B1" w14:textId="77777777" w:rsidR="006A51D1" w:rsidRPr="000871AD" w:rsidRDefault="006A51D1" w:rsidP="006A5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FF2F26" w14:textId="77777777" w:rsidR="006A51D1" w:rsidRPr="000871AD" w:rsidRDefault="006A51D1" w:rsidP="006A5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0871AD">
              <w:rPr>
                <w:rFonts w:asciiTheme="minorHAnsi" w:hAnsiTheme="minorHAnsi" w:cstheme="minorHAnsi"/>
                <w:sz w:val="14"/>
                <w:szCs w:val="14"/>
              </w:rPr>
              <w:t>** el Departamento de Mantenimiento colocará los disparos de luz para conectar los motores.</w:t>
            </w:r>
          </w:p>
          <w:p w14:paraId="044ED2D2" w14:textId="21EE6BF9" w:rsidR="006A51D1" w:rsidRPr="00964CC4" w:rsidRDefault="006A51D1" w:rsidP="006A5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EFA65CE" w14:textId="7D30EC37" w:rsidR="006A51D1" w:rsidRPr="00964CC4" w:rsidRDefault="006A51D1" w:rsidP="006A51D1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E10337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lastRenderedPageBreak/>
              <w:t>Pieza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206D6C" w14:textId="0354C8D9" w:rsidR="006A51D1" w:rsidRPr="00964CC4" w:rsidRDefault="006A51D1" w:rsidP="006A51D1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6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F8F8C04" w14:textId="705C859D" w:rsidR="006A51D1" w:rsidRPr="000F5B05" w:rsidRDefault="006A51D1" w:rsidP="006A51D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6A51D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ACEROS SAN MARCOS AG, S.A. DE C.V.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0FB4900" w14:textId="3DD0D547" w:rsidR="006A51D1" w:rsidRPr="006A51D1" w:rsidRDefault="006A51D1" w:rsidP="006A51D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6A51D1">
              <w:rPr>
                <w:rFonts w:asciiTheme="minorHAnsi" w:hAnsiTheme="minorHAnsi" w:cstheme="minorHAnsi"/>
                <w:sz w:val="12"/>
                <w:szCs w:val="12"/>
              </w:rPr>
              <w:t xml:space="preserve"> $24,257.07 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2129D0E" w14:textId="0ED5D126" w:rsidR="006A51D1" w:rsidRPr="006A51D1" w:rsidRDefault="006A51D1" w:rsidP="006A51D1">
            <w:pPr>
              <w:ind w:right="-109"/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6A51D1">
              <w:rPr>
                <w:rFonts w:asciiTheme="minorHAnsi" w:hAnsiTheme="minorHAnsi" w:cstheme="minorHAnsi"/>
                <w:sz w:val="12"/>
                <w:szCs w:val="12"/>
              </w:rPr>
              <w:t xml:space="preserve"> $145,542.42 </w:t>
            </w:r>
          </w:p>
        </w:tc>
      </w:tr>
      <w:tr w:rsidR="0011505C" w:rsidRPr="00D71177" w14:paraId="74E1141D" w14:textId="77777777" w:rsidTr="0011505C">
        <w:trPr>
          <w:trHeight w:val="192"/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66DD1E1E" w14:textId="2C2D0910" w:rsidR="0093691A" w:rsidRPr="0011505C" w:rsidRDefault="0093691A" w:rsidP="000F5B05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11505C"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lastRenderedPageBreak/>
              <w:t>36</w:t>
            </w:r>
          </w:p>
        </w:tc>
        <w:tc>
          <w:tcPr>
            <w:tcW w:w="2542" w:type="pct"/>
            <w:vAlign w:val="center"/>
          </w:tcPr>
          <w:p w14:paraId="4BD94063" w14:textId="0C50EE75" w:rsidR="0093691A" w:rsidRPr="000871AD" w:rsidRDefault="0093691A" w:rsidP="000F5B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0871AD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SUPRESOR DE TRANSITORIOS SURGELOGIC CAT. TVS2EMA24A SQUARED</w:t>
            </w:r>
          </w:p>
        </w:tc>
        <w:tc>
          <w:tcPr>
            <w:tcW w:w="364" w:type="pct"/>
            <w:vAlign w:val="center"/>
          </w:tcPr>
          <w:p w14:paraId="6887E77C" w14:textId="187C199D" w:rsidR="0093691A" w:rsidRPr="0011505C" w:rsidRDefault="0093691A" w:rsidP="000F5B05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11505C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Pieza</w:t>
            </w:r>
          </w:p>
        </w:tc>
        <w:tc>
          <w:tcPr>
            <w:tcW w:w="363" w:type="pct"/>
            <w:vAlign w:val="center"/>
          </w:tcPr>
          <w:p w14:paraId="40C871DD" w14:textId="43197A0D" w:rsidR="0093691A" w:rsidRPr="0011505C" w:rsidRDefault="0093691A" w:rsidP="000F5B05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11505C"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1379" w:type="pct"/>
            <w:gridSpan w:val="3"/>
            <w:shd w:val="clear" w:color="auto" w:fill="D9D9D9" w:themeFill="background1" w:themeFillShade="D9"/>
            <w:vAlign w:val="center"/>
          </w:tcPr>
          <w:p w14:paraId="64C501C0" w14:textId="192BEDA9" w:rsidR="0093691A" w:rsidRPr="0011505C" w:rsidRDefault="0093691A" w:rsidP="0093691A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1505C">
              <w:rPr>
                <w:rFonts w:asciiTheme="minorHAnsi" w:hAnsiTheme="minorHAnsi" w:cstheme="minorHAnsi"/>
                <w:sz w:val="12"/>
                <w:szCs w:val="12"/>
              </w:rPr>
              <w:t>DESIERTA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5B2FCDD2" w14:textId="714A5031" w:rsidR="000F7730" w:rsidRPr="0056447E" w:rsidRDefault="000F7730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53F7CEA6" w14:textId="77777777" w:rsidR="000F7730" w:rsidRPr="00F93025" w:rsidRDefault="000F7730" w:rsidP="000F7730">
      <w:pPr>
        <w:jc w:val="both"/>
        <w:rPr>
          <w:rFonts w:ascii="Arial" w:hAnsi="Arial" w:cs="Arial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0F7730" w:rsidRPr="00B873AC" w14:paraId="23EBB4C7" w14:textId="77777777" w:rsidTr="00127626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64BF9C94" w14:textId="77777777" w:rsidR="000F7730" w:rsidRPr="00B873AC" w:rsidRDefault="000F7730" w:rsidP="0012762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B873A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25E6D7A6" w14:textId="77777777" w:rsidR="000F7730" w:rsidRPr="00B873AC" w:rsidRDefault="000F7730" w:rsidP="0012762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B873A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0F7730" w:rsidRPr="00B873AC" w14:paraId="2104F5BB" w14:textId="77777777" w:rsidTr="00127626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2482F5FC" w14:textId="22A2B618" w:rsidR="000F7730" w:rsidRPr="00A25DF1" w:rsidRDefault="000F7730" w:rsidP="001276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25DF1">
              <w:rPr>
                <w:rFonts w:ascii="Arial" w:hAnsi="Arial" w:cs="Arial"/>
                <w:b/>
                <w:sz w:val="14"/>
                <w:szCs w:val="14"/>
              </w:rPr>
              <w:t>36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4F238728" w14:textId="3EA14D97" w:rsidR="000F7730" w:rsidRPr="00A25DF1" w:rsidRDefault="000F7730" w:rsidP="00A25DF1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25DF1">
              <w:rPr>
                <w:rFonts w:ascii="Arial" w:hAnsi="Arial" w:cs="Arial"/>
                <w:b/>
                <w:sz w:val="14"/>
                <w:szCs w:val="14"/>
              </w:rPr>
              <w:t>Se declara desierta en virtud de que no existieron propuestas susceptibles de análisis, al no ofertarse en el acto de entrega de propuesta en sobre cerrado.</w:t>
            </w:r>
          </w:p>
        </w:tc>
      </w:tr>
    </w:tbl>
    <w:p w14:paraId="3DBADB56" w14:textId="681B45A9" w:rsidR="00C14816" w:rsidRDefault="000F7730" w:rsidP="00C14816">
      <w:pPr>
        <w:jc w:val="both"/>
        <w:rPr>
          <w:rFonts w:ascii="Arial" w:hAnsi="Arial" w:cs="Arial"/>
          <w:sz w:val="18"/>
          <w:szCs w:val="18"/>
        </w:rPr>
      </w:pP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F93025"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127626" w:rsidRDefault="00127626" w:rsidP="004F08CF">
      <w:r>
        <w:separator/>
      </w:r>
    </w:p>
  </w:endnote>
  <w:endnote w:type="continuationSeparator" w:id="0">
    <w:p w14:paraId="430AF388" w14:textId="77777777" w:rsidR="00127626" w:rsidRDefault="00127626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44B6D426" w:rsidR="00127626" w:rsidRDefault="00127626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E/012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77BB0643" w:rsidR="00127626" w:rsidRPr="003B7915" w:rsidRDefault="00127626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395AA7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395AA7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127626" w:rsidRPr="003B7915" w:rsidRDefault="001276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127626" w:rsidRDefault="00127626" w:rsidP="004F08CF">
      <w:r>
        <w:separator/>
      </w:r>
    </w:p>
  </w:footnote>
  <w:footnote w:type="continuationSeparator" w:id="0">
    <w:p w14:paraId="5347FB57" w14:textId="77777777" w:rsidR="00127626" w:rsidRDefault="00127626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127626" w:rsidRPr="00400A61" w:rsidRDefault="0012762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127626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127626" w:rsidRPr="003B7915" w:rsidRDefault="00127626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127626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127626" w:rsidRPr="003B7915" w:rsidRDefault="00127626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127626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DFAA1E3" w:rsidR="00127626" w:rsidRPr="00755853" w:rsidRDefault="00127626" w:rsidP="00E762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E/012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Pr="008336C2">
            <w:rPr>
              <w:rFonts w:ascii="Arial" w:hAnsi="Arial" w:cs="Arial"/>
              <w:b/>
              <w:sz w:val="18"/>
              <w:szCs w:val="18"/>
            </w:rPr>
            <w:t>Adquisición de Materiales, equipos y servicio de mantenimientos preventivos, Depto. de Mantenimiento de la DGIU de la Universidad Autónoma de Aguascalientes</w:t>
          </w:r>
        </w:p>
      </w:tc>
    </w:tr>
  </w:tbl>
  <w:p w14:paraId="6445C360" w14:textId="77777777" w:rsidR="00127626" w:rsidRDefault="0012762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0C0D"/>
    <w:rsid w:val="00011BE4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6421"/>
    <w:rsid w:val="0004136E"/>
    <w:rsid w:val="00041425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7730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0EB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549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24C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4C93"/>
    <w:rsid w:val="005652D7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9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364E"/>
    <w:rsid w:val="005B4577"/>
    <w:rsid w:val="005B492F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A5B"/>
    <w:rsid w:val="006B1795"/>
    <w:rsid w:val="006B1AD5"/>
    <w:rsid w:val="006B2392"/>
    <w:rsid w:val="006B26A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2DCF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5DF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87530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A16"/>
    <w:rsid w:val="00824A94"/>
    <w:rsid w:val="00824D3A"/>
    <w:rsid w:val="00824FF0"/>
    <w:rsid w:val="00826448"/>
    <w:rsid w:val="00826C40"/>
    <w:rsid w:val="00826D33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4AAE"/>
    <w:rsid w:val="009F5089"/>
    <w:rsid w:val="009F5D7A"/>
    <w:rsid w:val="009F664E"/>
    <w:rsid w:val="009F7882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E9E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09EB"/>
    <w:rsid w:val="00CA3B82"/>
    <w:rsid w:val="00CA5B31"/>
    <w:rsid w:val="00CA5FDA"/>
    <w:rsid w:val="00CA7191"/>
    <w:rsid w:val="00CA78CD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47EB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96A7D"/>
    <w:rsid w:val="00EA0CF0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57F8"/>
    <w:rsid w:val="00EF66DC"/>
    <w:rsid w:val="00EF730A"/>
    <w:rsid w:val="00EF73D4"/>
    <w:rsid w:val="00EF741A"/>
    <w:rsid w:val="00F01202"/>
    <w:rsid w:val="00F03151"/>
    <w:rsid w:val="00F032A9"/>
    <w:rsid w:val="00F05518"/>
    <w:rsid w:val="00F05FFC"/>
    <w:rsid w:val="00F07E1F"/>
    <w:rsid w:val="00F10E87"/>
    <w:rsid w:val="00F11A3A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D7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A32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mites.aguascalientes.gob.mx/tramite/EDO-SEFI-4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FE43-F583-455A-AF14-4D35B5E6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8</Pages>
  <Words>4997</Words>
  <Characters>28484</Characters>
  <Application>Microsoft Office Word</Application>
  <DocSecurity>0</DocSecurity>
  <Lines>237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276</cp:revision>
  <cp:lastPrinted>2022-09-01T18:31:00Z</cp:lastPrinted>
  <dcterms:created xsi:type="dcterms:W3CDTF">2022-06-06T12:42:00Z</dcterms:created>
  <dcterms:modified xsi:type="dcterms:W3CDTF">2022-09-13T18:54:00Z</dcterms:modified>
</cp:coreProperties>
</file>