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C2C7A10" w14:textId="6607760F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A3E25" w:rsidRPr="001354BF">
        <w:rPr>
          <w:rFonts w:ascii="Arial" w:hAnsi="Arial" w:cs="Arial"/>
          <w:sz w:val="18"/>
          <w:szCs w:val="18"/>
          <w:lang w:val="es-MX"/>
        </w:rPr>
        <w:t>14</w:t>
      </w:r>
      <w:r w:rsidR="00E32607" w:rsidRPr="001354BF">
        <w:rPr>
          <w:rFonts w:ascii="Arial" w:hAnsi="Arial" w:cs="Arial"/>
          <w:sz w:val="18"/>
          <w:szCs w:val="18"/>
          <w:lang w:val="es-MX"/>
        </w:rPr>
        <w:t>:</w:t>
      </w:r>
      <w:r w:rsidR="005E76D4" w:rsidRPr="001354BF">
        <w:rPr>
          <w:rFonts w:ascii="Arial" w:hAnsi="Arial" w:cs="Arial"/>
          <w:sz w:val="18"/>
          <w:szCs w:val="18"/>
          <w:lang w:val="es-MX"/>
        </w:rPr>
        <w:t>0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0 </w:t>
      </w:r>
      <w:r w:rsidRPr="00A668B7">
        <w:rPr>
          <w:rFonts w:ascii="Arial" w:hAnsi="Arial" w:cs="Arial"/>
          <w:sz w:val="18"/>
          <w:szCs w:val="18"/>
          <w:lang w:val="es-MX"/>
        </w:rPr>
        <w:t>(</w:t>
      </w:r>
      <w:r w:rsidR="006A3E25" w:rsidRPr="00A668B7">
        <w:rPr>
          <w:rFonts w:ascii="Arial" w:hAnsi="Arial" w:cs="Arial"/>
          <w:sz w:val="18"/>
          <w:szCs w:val="18"/>
          <w:lang w:val="es-MX"/>
        </w:rPr>
        <w:t>catorce</w:t>
      </w:r>
      <w:r w:rsidRPr="00A668B7">
        <w:rPr>
          <w:rFonts w:ascii="Arial" w:hAnsi="Arial" w:cs="Arial"/>
          <w:sz w:val="18"/>
          <w:szCs w:val="18"/>
          <w:lang w:val="es-MX"/>
        </w:rPr>
        <w:t>)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1354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B84669">
        <w:rPr>
          <w:rFonts w:ascii="Arial" w:hAnsi="Arial" w:cs="Arial"/>
          <w:sz w:val="18"/>
          <w:szCs w:val="18"/>
          <w:lang w:val="es-MX"/>
        </w:rPr>
        <w:t>27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de </w:t>
      </w:r>
      <w:r w:rsidR="0052521B">
        <w:rPr>
          <w:rFonts w:ascii="Arial" w:hAnsi="Arial" w:cs="Arial"/>
          <w:sz w:val="18"/>
          <w:szCs w:val="18"/>
          <w:lang w:val="es-MX"/>
        </w:rPr>
        <w:t>marzo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Pr="001354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1354BF">
        <w:rPr>
          <w:rFonts w:ascii="Arial" w:hAnsi="Arial" w:cs="Arial"/>
          <w:sz w:val="18"/>
          <w:szCs w:val="18"/>
          <w:lang w:val="es-MX"/>
        </w:rPr>
        <w:t>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="00F2127A" w:rsidRPr="001354BF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2127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de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B84669">
        <w:rPr>
          <w:rFonts w:ascii="Arial" w:hAnsi="Arial" w:cs="Arial"/>
          <w:sz w:val="18"/>
          <w:szCs w:val="18"/>
          <w:lang w:val="es-MX"/>
        </w:rPr>
        <w:t>10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B84669" w:rsidRPr="00B84669">
        <w:rPr>
          <w:rFonts w:ascii="Arial" w:hAnsi="Arial" w:cs="Arial"/>
          <w:b w:val="0"/>
          <w:sz w:val="18"/>
          <w:szCs w:val="18"/>
          <w:lang w:val="es-MX"/>
        </w:rPr>
        <w:t>Contratación de Servicio de Licenciamiento Microsoft Depto. de Redes y Telecomunicaciones de la DGPyD de la Universidad Autónoma de Aguascalientes</w:t>
      </w:r>
      <w:r w:rsidR="00B8466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B84669" w:rsidRPr="00B84669">
        <w:rPr>
          <w:rFonts w:ascii="Arial" w:hAnsi="Arial" w:cs="Arial"/>
          <w:b w:val="0"/>
          <w:i/>
          <w:sz w:val="18"/>
          <w:szCs w:val="18"/>
          <w:lang w:val="es-MX"/>
        </w:rPr>
        <w:t>Fondo Ordinario Estatal y Propio, conforme al oficio DGF/DPAF-122/2024 y DGF/DPAF-160/2024</w:t>
      </w:r>
      <w:r w:rsidR="00667F5B" w:rsidRPr="0052521B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C2B0B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Sala de </w:t>
      </w:r>
      <w:r w:rsidR="004E5A42" w:rsidRPr="00BE7819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BE7819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BE781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Ciudad Univer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sitaria,</w:t>
      </w:r>
      <w:r w:rsidR="00C02C16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31703F5F" w:rsidR="0063368B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760435">
        <w:rPr>
          <w:rFonts w:ascii="Arial" w:hAnsi="Arial" w:cs="Arial"/>
          <w:color w:val="000000"/>
          <w:sz w:val="18"/>
          <w:szCs w:val="18"/>
        </w:rPr>
        <w:t>57</w:t>
      </w:r>
      <w:r w:rsidR="003A7A6E" w:rsidRPr="00760435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I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 Autónoma de Aguascalientes</w:t>
      </w:r>
    </w:p>
    <w:p w14:paraId="248DFAC7" w14:textId="647AF93D" w:rsidR="00C447C1" w:rsidRPr="00B2717C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>
        <w:rPr>
          <w:rFonts w:ascii="Arial" w:hAnsi="Arial" w:cs="Arial"/>
          <w:sz w:val="18"/>
          <w:szCs w:val="18"/>
        </w:rPr>
        <w:t xml:space="preserve">: </w:t>
      </w:r>
      <w:r w:rsidR="00B204E9">
        <w:rPr>
          <w:rFonts w:ascii="Arial" w:hAnsi="Arial" w:cs="Arial"/>
          <w:sz w:val="18"/>
          <w:szCs w:val="18"/>
        </w:rPr>
        <w:t>la</w:t>
      </w:r>
      <w:r w:rsidR="00B204E9" w:rsidRPr="00BE7819">
        <w:rPr>
          <w:rFonts w:ascii="Arial" w:hAnsi="Arial" w:cs="Arial"/>
          <w:sz w:val="18"/>
          <w:szCs w:val="18"/>
        </w:rPr>
        <w:t xml:space="preserve"> </w:t>
      </w:r>
      <w:r w:rsidR="00B204E9" w:rsidRPr="00761EF0">
        <w:rPr>
          <w:rFonts w:ascii="Arial" w:hAnsi="Arial" w:cs="Arial"/>
          <w:sz w:val="18"/>
          <w:szCs w:val="18"/>
        </w:rPr>
        <w:t>Dra. En C.A. Elena Patricia Mojica Carrillo</w:t>
      </w:r>
      <w:r w:rsidR="00B204E9" w:rsidRPr="00761EF0">
        <w:rPr>
          <w:rFonts w:ascii="Arial" w:hAnsi="Arial" w:cs="Arial"/>
          <w:bCs/>
          <w:sz w:val="18"/>
          <w:szCs w:val="18"/>
        </w:rPr>
        <w:t>,</w:t>
      </w:r>
      <w:r w:rsidR="00B204E9">
        <w:rPr>
          <w:rFonts w:ascii="Arial" w:hAnsi="Arial" w:cs="Arial"/>
          <w:b/>
          <w:bCs/>
          <w:sz w:val="18"/>
          <w:szCs w:val="18"/>
        </w:rPr>
        <w:t xml:space="preserve"> </w:t>
      </w:r>
      <w:r w:rsidR="00B204E9" w:rsidRPr="00761EF0">
        <w:rPr>
          <w:rFonts w:ascii="Arial" w:hAnsi="Arial" w:cs="Arial"/>
          <w:b/>
          <w:bCs/>
          <w:sz w:val="18"/>
          <w:szCs w:val="18"/>
        </w:rPr>
        <w:t>Directora General de Planeación y Desarrollo</w:t>
      </w:r>
      <w:r w:rsidR="00B204E9" w:rsidRPr="00E779A4">
        <w:rPr>
          <w:rFonts w:ascii="Arial" w:hAnsi="Arial" w:cs="Arial"/>
          <w:b/>
          <w:sz w:val="18"/>
          <w:szCs w:val="18"/>
        </w:rPr>
        <w:t>,</w:t>
      </w:r>
      <w:r w:rsidR="00B204E9">
        <w:rPr>
          <w:rFonts w:ascii="Arial" w:hAnsi="Arial" w:cs="Arial"/>
          <w:b/>
          <w:sz w:val="18"/>
          <w:szCs w:val="18"/>
        </w:rPr>
        <w:t xml:space="preserve"> </w:t>
      </w:r>
      <w:r w:rsidR="00B204E9" w:rsidRPr="00BE7819">
        <w:rPr>
          <w:rFonts w:ascii="Arial" w:hAnsi="Arial" w:cs="Arial"/>
          <w:sz w:val="18"/>
          <w:szCs w:val="18"/>
        </w:rPr>
        <w:t xml:space="preserve">en conjunto </w:t>
      </w:r>
      <w:r w:rsidR="00B204E9" w:rsidRPr="00BC656D">
        <w:rPr>
          <w:rFonts w:ascii="Arial" w:hAnsi="Arial" w:cs="Arial"/>
          <w:sz w:val="18"/>
          <w:szCs w:val="18"/>
        </w:rPr>
        <w:t>con el Ing. Abraham Rodríguez Méndez,</w:t>
      </w:r>
      <w:r w:rsidR="00B204E9">
        <w:rPr>
          <w:rFonts w:ascii="Arial" w:hAnsi="Arial" w:cs="Arial"/>
          <w:b/>
          <w:sz w:val="18"/>
          <w:szCs w:val="18"/>
        </w:rPr>
        <w:t xml:space="preserve"> Jefe del Departamento de Redes y Telecomunicaciones</w:t>
      </w:r>
      <w:r w:rsidR="00562A1B">
        <w:rPr>
          <w:rFonts w:ascii="Arial" w:hAnsi="Arial" w:cs="Arial"/>
          <w:b/>
          <w:sz w:val="18"/>
          <w:szCs w:val="18"/>
        </w:rPr>
        <w:t xml:space="preserve">, </w:t>
      </w:r>
      <w:r w:rsidR="00BC656D" w:rsidRPr="00BC656D">
        <w:rPr>
          <w:rFonts w:ascii="Arial" w:hAnsi="Arial" w:cs="Arial"/>
          <w:sz w:val="18"/>
          <w:szCs w:val="18"/>
        </w:rPr>
        <w:t>Ing. Miguel Ángel Hernández,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Jefe de Sección de Seguridad Tecnológica y Tecnologías Educativas, </w:t>
      </w:r>
      <w:r w:rsidR="00BC656D" w:rsidRPr="00BC656D">
        <w:rPr>
          <w:rFonts w:ascii="Arial" w:hAnsi="Arial" w:cs="Arial"/>
          <w:sz w:val="18"/>
          <w:szCs w:val="18"/>
        </w:rPr>
        <w:t>y por el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</w:t>
      </w:r>
      <w:r w:rsidR="00BC656D" w:rsidRPr="00BC656D">
        <w:rPr>
          <w:rFonts w:ascii="Arial" w:hAnsi="Arial" w:cs="Arial"/>
          <w:sz w:val="18"/>
          <w:szCs w:val="18"/>
        </w:rPr>
        <w:t>Ing. José Antonio Pérez Hernández</w:t>
      </w:r>
      <w:r w:rsidR="00BC656D">
        <w:rPr>
          <w:rFonts w:ascii="Arial" w:hAnsi="Arial" w:cs="Arial"/>
          <w:b/>
          <w:sz w:val="18"/>
          <w:szCs w:val="18"/>
        </w:rPr>
        <w:t xml:space="preserve">, </w:t>
      </w:r>
      <w:r w:rsidR="00BC656D" w:rsidRPr="00BC656D">
        <w:rPr>
          <w:rFonts w:ascii="Arial" w:hAnsi="Arial" w:cs="Arial"/>
          <w:b/>
          <w:sz w:val="18"/>
          <w:szCs w:val="18"/>
        </w:rPr>
        <w:t>Jefe de Sección de Red Institucional del Departamento de Redes y Telecomunicaciones de la DGPyD</w:t>
      </w:r>
      <w:r w:rsidR="00BC656D">
        <w:rPr>
          <w:rFonts w:ascii="Arial" w:hAnsi="Arial" w:cs="Arial"/>
          <w:b/>
          <w:sz w:val="18"/>
          <w:szCs w:val="18"/>
        </w:rPr>
        <w:t>,</w:t>
      </w:r>
      <w:r w:rsidR="00BC656D" w:rsidRPr="00BC656D">
        <w:rPr>
          <w:rFonts w:ascii="Arial" w:hAnsi="Arial" w:cs="Arial"/>
          <w:b/>
          <w:sz w:val="18"/>
          <w:szCs w:val="18"/>
        </w:rPr>
        <w:t xml:space="preserve"> </w:t>
      </w:r>
      <w:r w:rsidR="00BA4A98">
        <w:rPr>
          <w:rFonts w:ascii="Arial" w:hAnsi="Arial" w:cs="Arial"/>
          <w:bCs/>
          <w:sz w:val="18"/>
          <w:szCs w:val="18"/>
        </w:rPr>
        <w:t>qui</w:t>
      </w:r>
      <w:r w:rsidR="003275F5">
        <w:rPr>
          <w:rFonts w:ascii="Arial" w:hAnsi="Arial" w:cs="Arial"/>
          <w:bCs/>
          <w:sz w:val="18"/>
          <w:szCs w:val="18"/>
        </w:rPr>
        <w:t>e</w:t>
      </w:r>
      <w:r w:rsidR="00BA4A98">
        <w:rPr>
          <w:rFonts w:ascii="Arial" w:hAnsi="Arial" w:cs="Arial"/>
          <w:bCs/>
          <w:sz w:val="18"/>
          <w:szCs w:val="18"/>
        </w:rPr>
        <w:t xml:space="preserve">nes </w:t>
      </w:r>
      <w:r w:rsidR="00BB0165">
        <w:rPr>
          <w:rFonts w:ascii="Arial" w:hAnsi="Arial" w:cs="Arial"/>
          <w:sz w:val="18"/>
          <w:szCs w:val="18"/>
        </w:rPr>
        <w:t>realizaron</w:t>
      </w:r>
      <w:r w:rsidR="00A31430" w:rsidRPr="008E2C6F">
        <w:rPr>
          <w:rFonts w:ascii="Arial" w:hAnsi="Arial" w:cs="Arial"/>
          <w:sz w:val="18"/>
          <w:szCs w:val="18"/>
        </w:rPr>
        <w:t xml:space="preserve"> el </w:t>
      </w:r>
      <w:r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8E2C6F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8E2C6F">
        <w:rPr>
          <w:rFonts w:ascii="Arial" w:hAnsi="Arial" w:cs="Arial"/>
          <w:sz w:val="18"/>
          <w:szCs w:val="18"/>
        </w:rPr>
        <w:t xml:space="preserve"> y </w:t>
      </w:r>
      <w:r w:rsidR="006B2811" w:rsidRPr="008E2C6F">
        <w:rPr>
          <w:rFonts w:ascii="Arial" w:hAnsi="Arial" w:cs="Arial"/>
          <w:sz w:val="18"/>
          <w:szCs w:val="18"/>
        </w:rPr>
        <w:t>económica</w:t>
      </w:r>
      <w:r w:rsidR="00BA4A98">
        <w:rPr>
          <w:rFonts w:ascii="Arial" w:hAnsi="Arial" w:cs="Arial"/>
          <w:sz w:val="18"/>
          <w:szCs w:val="18"/>
        </w:rPr>
        <w:t xml:space="preserve"> de esta Licitación</w:t>
      </w:r>
      <w:r w:rsidR="00DA18D4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>Gabriela del Socorro Muñoz Vera</w:t>
      </w:r>
      <w:r w:rsidR="00B2717C">
        <w:rPr>
          <w:rFonts w:ascii="Arial" w:hAnsi="Arial" w:cs="Arial"/>
          <w:sz w:val="18"/>
          <w:szCs w:val="18"/>
        </w:rPr>
        <w:t xml:space="preserve">, se </w:t>
      </w:r>
      <w:r w:rsidR="00687245" w:rsidRPr="00E57C80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57C80">
        <w:rPr>
          <w:rFonts w:ascii="Arial" w:hAnsi="Arial" w:cs="Arial"/>
          <w:b/>
          <w:sz w:val="18"/>
          <w:szCs w:val="18"/>
        </w:rPr>
        <w:t>Anexo “2</w:t>
      </w:r>
      <w:r w:rsidR="00B2717C">
        <w:rPr>
          <w:rFonts w:ascii="Arial" w:hAnsi="Arial" w:cs="Arial"/>
          <w:b/>
          <w:sz w:val="18"/>
          <w:szCs w:val="18"/>
        </w:rPr>
        <w:t xml:space="preserve">”, </w:t>
      </w:r>
      <w:r w:rsidR="00B2717C">
        <w:rPr>
          <w:rFonts w:ascii="Arial" w:hAnsi="Arial" w:cs="Arial"/>
          <w:sz w:val="18"/>
          <w:szCs w:val="18"/>
        </w:rPr>
        <w:t>de la presente acta</w:t>
      </w:r>
      <w:r w:rsidR="00687245" w:rsidRPr="00E57C80">
        <w:rPr>
          <w:rFonts w:ascii="Arial" w:hAnsi="Arial" w:cs="Arial"/>
          <w:sz w:val="18"/>
          <w:szCs w:val="18"/>
        </w:rPr>
        <w:t xml:space="preserve">. 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A15209">
        <w:rPr>
          <w:rFonts w:ascii="Arial" w:hAnsi="Arial" w:cs="Arial"/>
          <w:sz w:val="18"/>
          <w:szCs w:val="18"/>
        </w:rPr>
        <w:t>------------------------</w:t>
      </w:r>
      <w:r w:rsidR="00BE7819">
        <w:rPr>
          <w:rFonts w:ascii="Arial" w:hAnsi="Arial" w:cs="Arial"/>
          <w:sz w:val="18"/>
          <w:szCs w:val="18"/>
        </w:rPr>
        <w:t>------------------------------------------</w:t>
      </w:r>
      <w:r w:rsidR="00A15209">
        <w:rPr>
          <w:rFonts w:ascii="Arial" w:hAnsi="Arial" w:cs="Arial"/>
          <w:sz w:val="18"/>
          <w:szCs w:val="18"/>
        </w:rPr>
        <w:t>-------------------------------------------</w:t>
      </w:r>
      <w:r w:rsidR="00B2717C">
        <w:rPr>
          <w:rFonts w:ascii="Arial" w:hAnsi="Arial" w:cs="Arial"/>
          <w:sz w:val="18"/>
          <w:szCs w:val="18"/>
        </w:rPr>
        <w:t>----</w:t>
      </w:r>
      <w:r w:rsidR="00BC656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615EA3AC" w14:textId="77777777" w:rsidR="003C256B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805502" w:rsidRPr="003E788A">
        <w:rPr>
          <w:rFonts w:ascii="Arial" w:hAnsi="Arial" w:cs="Arial"/>
          <w:sz w:val="18"/>
          <w:szCs w:val="18"/>
        </w:rPr>
        <w:t>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</w:p>
    <w:p w14:paraId="7B7C2773" w14:textId="3A3BC3FC" w:rsidR="003C256B" w:rsidRDefault="003C256B" w:rsidP="003C256B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B1422E6" w14:textId="66A5A372" w:rsidR="00BE7819" w:rsidRPr="003E788A" w:rsidRDefault="00C447C1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7274F633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B84669" w:rsidRPr="00B84669">
        <w:rPr>
          <w:rFonts w:ascii="Arial" w:hAnsi="Arial" w:cs="Arial"/>
          <w:b/>
          <w:sz w:val="18"/>
          <w:szCs w:val="18"/>
        </w:rPr>
        <w:t>15 de marzo 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</w:t>
      </w:r>
      <w:r w:rsidR="00B84669">
        <w:rPr>
          <w:rFonts w:ascii="Arial" w:hAnsi="Arial" w:cs="Arial"/>
          <w:sz w:val="18"/>
          <w:szCs w:val="18"/>
        </w:rPr>
        <w:t xml:space="preserve"> 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497A2C66" w14:textId="75D2EAB4" w:rsidR="00BE7819" w:rsidRPr="004C5D14" w:rsidRDefault="003C256B" w:rsidP="00BE7819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8"/>
          <w:szCs w:val="18"/>
          <w:lang w:val="es-MX"/>
        </w:rPr>
        <w:t>2</w:t>
      </w:r>
      <w:r w:rsidR="00BE7819" w:rsidRPr="00A2131C">
        <w:rPr>
          <w:rFonts w:ascii="Arial" w:hAnsi="Arial" w:cs="Arial"/>
          <w:sz w:val="18"/>
          <w:szCs w:val="18"/>
          <w:lang w:val="es-MX"/>
        </w:rPr>
        <w:t xml:space="preserve">. </w:t>
      </w:r>
      <w:r w:rsidR="00BE7819" w:rsidRPr="00A2131C">
        <w:rPr>
          <w:rFonts w:ascii="Arial" w:hAnsi="Arial" w:cs="Arial"/>
          <w:sz w:val="18"/>
          <w:szCs w:val="18"/>
        </w:rPr>
        <w:t xml:space="preserve">El día </w:t>
      </w:r>
      <w:r w:rsidR="00B84669" w:rsidRPr="00B84669">
        <w:rPr>
          <w:rFonts w:ascii="Arial" w:hAnsi="Arial" w:cs="Arial"/>
          <w:b/>
          <w:sz w:val="18"/>
          <w:szCs w:val="18"/>
        </w:rPr>
        <w:t>21 de marzo de 2024</w:t>
      </w:r>
      <w:r w:rsidR="00BE7819" w:rsidRPr="00A2131C">
        <w:rPr>
          <w:rFonts w:ascii="Arial" w:hAnsi="Arial" w:cs="Arial"/>
          <w:b/>
          <w:sz w:val="18"/>
          <w:szCs w:val="18"/>
        </w:rPr>
        <w:t xml:space="preserve">, </w:t>
      </w:r>
      <w:r w:rsidR="00BE7819" w:rsidRPr="00A2131C">
        <w:rPr>
          <w:rFonts w:ascii="Arial" w:hAnsi="Arial" w:cs="Arial"/>
          <w:sz w:val="18"/>
          <w:szCs w:val="18"/>
        </w:rPr>
        <w:t>a las 1</w:t>
      </w:r>
      <w:r w:rsidR="00B84669">
        <w:rPr>
          <w:rFonts w:ascii="Arial" w:hAnsi="Arial" w:cs="Arial"/>
          <w:sz w:val="18"/>
          <w:szCs w:val="18"/>
        </w:rPr>
        <w:t xml:space="preserve">4:00 </w:t>
      </w:r>
      <w:proofErr w:type="spellStart"/>
      <w:r w:rsidR="00B84669">
        <w:rPr>
          <w:rFonts w:ascii="Arial" w:hAnsi="Arial" w:cs="Arial"/>
          <w:sz w:val="18"/>
          <w:szCs w:val="18"/>
        </w:rPr>
        <w:t>hrs</w:t>
      </w:r>
      <w:proofErr w:type="spellEnd"/>
      <w:r w:rsidR="00BE7819" w:rsidRPr="00A2131C">
        <w:rPr>
          <w:rFonts w:ascii="Arial" w:hAnsi="Arial" w:cs="Arial"/>
          <w:sz w:val="18"/>
          <w:szCs w:val="18"/>
        </w:rPr>
        <w:t xml:space="preserve">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>en la cual se recibieron preguntas y manifi</w:t>
      </w:r>
      <w:r>
        <w:rPr>
          <w:rFonts w:ascii="Arial" w:hAnsi="Arial" w:cs="Arial"/>
          <w:sz w:val="18"/>
          <w:szCs w:val="18"/>
        </w:rPr>
        <w:t>esto de interés por parte de la empresa</w:t>
      </w:r>
      <w:r w:rsidR="00B204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INGENIERIA DE SISTEMAS AVANZADOS DEL CENTRO</w:t>
      </w:r>
      <w:r w:rsidR="00B204E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S.A. DE C.V. </w:t>
      </w:r>
      <w:r w:rsidR="00A2131C" w:rsidRPr="00A2131C">
        <w:rPr>
          <w:rFonts w:ascii="Arial" w:hAnsi="Arial" w:cs="Arial"/>
          <w:sz w:val="18"/>
          <w:szCs w:val="18"/>
        </w:rPr>
        <w:t xml:space="preserve">así mismo se hizo constar que, por parte de la convocante </w:t>
      </w:r>
      <w:r>
        <w:rPr>
          <w:rFonts w:ascii="Arial" w:hAnsi="Arial" w:cs="Arial"/>
          <w:sz w:val="18"/>
          <w:szCs w:val="18"/>
        </w:rPr>
        <w:t>se realizó</w:t>
      </w:r>
      <w:r w:rsidR="00A2131C" w:rsidRPr="00A213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una aclaración</w:t>
      </w:r>
      <w:r w:rsidR="00BE7819"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</w:t>
      </w:r>
    </w:p>
    <w:p w14:paraId="35033720" w14:textId="68476AA8" w:rsidR="00EF4299" w:rsidRDefault="003C256B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</w:t>
      </w:r>
      <w:r w:rsidR="004C5D14">
        <w:rPr>
          <w:rFonts w:ascii="Arial" w:hAnsi="Arial" w:cs="Arial"/>
          <w:color w:val="000000"/>
          <w:sz w:val="18"/>
          <w:szCs w:val="18"/>
        </w:rPr>
        <w:t xml:space="preserve">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Pr="003C256B">
        <w:rPr>
          <w:rFonts w:ascii="Arial" w:hAnsi="Arial" w:cs="Arial"/>
          <w:b/>
          <w:sz w:val="18"/>
          <w:szCs w:val="18"/>
        </w:rPr>
        <w:t>26 de marzo 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B204E9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DB74BC">
        <w:rPr>
          <w:rFonts w:ascii="Arial" w:hAnsi="Arial" w:cs="Arial"/>
          <w:b/>
          <w:sz w:val="18"/>
          <w:szCs w:val="18"/>
        </w:rPr>
        <w:lastRenderedPageBreak/>
        <w:t>0</w:t>
      </w:r>
      <w:r w:rsidR="00EF4299" w:rsidRPr="00DB74BC">
        <w:rPr>
          <w:rFonts w:ascii="Arial" w:hAnsi="Arial" w:cs="Arial"/>
          <w:b/>
          <w:sz w:val="18"/>
          <w:szCs w:val="18"/>
        </w:rPr>
        <w:t>1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 (</w:t>
      </w:r>
      <w:r w:rsidR="00EF4299" w:rsidRPr="00DB74BC">
        <w:rPr>
          <w:rFonts w:ascii="Arial" w:hAnsi="Arial" w:cs="Arial"/>
          <w:b/>
          <w:sz w:val="18"/>
          <w:szCs w:val="18"/>
        </w:rPr>
        <w:t>una</w:t>
      </w:r>
      <w:r w:rsidR="00F90DEF" w:rsidRPr="00DB74BC">
        <w:rPr>
          <w:rFonts w:ascii="Arial" w:hAnsi="Arial" w:cs="Arial"/>
          <w:b/>
          <w:sz w:val="18"/>
          <w:szCs w:val="18"/>
        </w:rPr>
        <w:t xml:space="preserve">) </w:t>
      </w:r>
      <w:r w:rsidR="00A31430" w:rsidRPr="00DB74BC">
        <w:rPr>
          <w:rFonts w:ascii="Arial" w:hAnsi="Arial" w:cs="Arial"/>
          <w:b/>
          <w:sz w:val="18"/>
          <w:szCs w:val="18"/>
        </w:rPr>
        <w:t>propuesta</w:t>
      </w:r>
      <w:r w:rsidR="009606F0" w:rsidRPr="00DB74BC">
        <w:rPr>
          <w:rFonts w:ascii="Arial" w:hAnsi="Arial" w:cs="Arial"/>
          <w:sz w:val="18"/>
          <w:szCs w:val="18"/>
        </w:rPr>
        <w:t xml:space="preserve">, </w:t>
      </w:r>
      <w:r w:rsidR="00B45AE0" w:rsidRPr="00DB74BC">
        <w:rPr>
          <w:rFonts w:ascii="Arial" w:hAnsi="Arial" w:cs="Arial"/>
          <w:color w:val="000000"/>
          <w:sz w:val="18"/>
          <w:szCs w:val="18"/>
        </w:rPr>
        <w:t>presentada</w:t>
      </w:r>
      <w:r w:rsidR="00A668B7" w:rsidRPr="00DB74BC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EF4299">
        <w:rPr>
          <w:rFonts w:ascii="Arial" w:hAnsi="Arial" w:cs="Arial"/>
          <w:color w:val="000000"/>
          <w:sz w:val="18"/>
          <w:szCs w:val="18"/>
        </w:rPr>
        <w:t xml:space="preserve"> -------------------------------------------------------------------------------------------------------------------------------------------------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="00A31430" w:rsidRPr="003D2736">
        <w:rPr>
          <w:rFonts w:ascii="Arial" w:hAnsi="Arial" w:cs="Arial"/>
          <w:sz w:val="18"/>
          <w:szCs w:val="18"/>
        </w:rPr>
        <w:t>------------------</w:t>
      </w:r>
    </w:p>
    <w:p w14:paraId="4C586A03" w14:textId="42266889" w:rsidR="00A31430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  <w:r w:rsidR="00EF4299"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0F4AE4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AE4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647940" w:rsidRPr="000F4AE4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27B1C60" w:rsidR="00647940" w:rsidRPr="00325DE9" w:rsidRDefault="00647940" w:rsidP="00647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DE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A70A873" w14:textId="43081849" w:rsidR="00647940" w:rsidRPr="00325DE9" w:rsidRDefault="00EF4299" w:rsidP="00647940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F4299">
              <w:rPr>
                <w:rFonts w:ascii="Arial" w:hAnsi="Arial" w:cs="Arial"/>
                <w:b/>
                <w:sz w:val="18"/>
                <w:szCs w:val="18"/>
              </w:rPr>
              <w:t>INGENIERIA DE SISTEMAS AVANZADOS DEL CENTRO, S.A. DE C.V.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26ED8C" w14:textId="3C2F7D15" w:rsidR="00C023D7" w:rsidRDefault="00647940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="00EF4299">
        <w:rPr>
          <w:rFonts w:ascii="Arial" w:hAnsi="Arial" w:cs="Arial"/>
          <w:b/>
          <w:sz w:val="18"/>
          <w:szCs w:val="18"/>
        </w:rPr>
        <w:t>26</w:t>
      </w:r>
      <w:r w:rsidRPr="00647940">
        <w:rPr>
          <w:rFonts w:ascii="Arial" w:hAnsi="Arial" w:cs="Arial"/>
          <w:b/>
          <w:sz w:val="18"/>
          <w:szCs w:val="18"/>
        </w:rPr>
        <w:t xml:space="preserve"> de marzo de 2024</w:t>
      </w:r>
      <w:r w:rsidR="009606F0">
        <w:rPr>
          <w:rFonts w:ascii="Arial" w:hAnsi="Arial" w:cs="Arial"/>
          <w:sz w:val="18"/>
          <w:szCs w:val="18"/>
        </w:rPr>
        <w:t>:</w:t>
      </w:r>
      <w:r w:rsidR="00C023D7">
        <w:rPr>
          <w:rFonts w:ascii="Arial" w:hAnsi="Arial" w:cs="Arial"/>
          <w:sz w:val="18"/>
          <w:szCs w:val="18"/>
        </w:rPr>
        <w:t xml:space="preserve"> 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</w:t>
      </w:r>
    </w:p>
    <w:p w14:paraId="2DC26A7E" w14:textId="65B19C23" w:rsidR="00C023D7" w:rsidRDefault="00C023D7" w:rsidP="00C161F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>
        <w:rPr>
          <w:rFonts w:ascii="Arial" w:hAnsi="Arial" w:cs="Arial"/>
          <w:sz w:val="18"/>
          <w:szCs w:val="18"/>
        </w:rPr>
        <w:t>------------------------</w:t>
      </w:r>
    </w:p>
    <w:p w14:paraId="73E2673D" w14:textId="6DB0ABF9" w:rsidR="009F5D7A" w:rsidRDefault="009F5D7A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53F575FA" w:rsidR="000B3B03" w:rsidRDefault="00C023D7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C023D7">
        <w:rPr>
          <w:noProof/>
          <w:lang w:eastAsia="es-MX"/>
        </w:rPr>
        <w:drawing>
          <wp:inline distT="0" distB="0" distL="0" distR="0" wp14:anchorId="347D5790" wp14:editId="6F10A49B">
            <wp:extent cx="5610139" cy="3073614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167" cy="3076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A8473" w14:textId="7293272F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12DD27" w14:textId="62AF1F2D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C6083D" w14:textId="77777777" w:rsidR="00C023D7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7B471230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6EA7766E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452FD1A3" w14:textId="7ABA4424" w:rsidR="00D91012" w:rsidRPr="00EF4299" w:rsidRDefault="007E0989" w:rsidP="00CE4151">
      <w:pPr>
        <w:pStyle w:val="Sangradetextonormal"/>
        <w:ind w:left="0" w:right="48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>,</w:t>
      </w:r>
      <w:r w:rsidR="00EF4299">
        <w:rPr>
          <w:rFonts w:ascii="Arial" w:hAnsi="Arial" w:cs="Arial"/>
          <w:sz w:val="18"/>
          <w:szCs w:val="18"/>
        </w:rPr>
        <w:t xml:space="preserve"> “</w:t>
      </w:r>
      <w:r w:rsidR="00EF4299" w:rsidRPr="00EF4299">
        <w:rPr>
          <w:rFonts w:ascii="Arial" w:hAnsi="Arial" w:cs="Arial"/>
          <w:b/>
          <w:i/>
          <w:sz w:val="18"/>
          <w:szCs w:val="18"/>
        </w:rPr>
        <w:t>Los servicios se adjudicarán por conjunto de partidas y de manera individual</w:t>
      </w:r>
      <w:r w:rsidR="00EF4299" w:rsidRPr="00EF4299">
        <w:rPr>
          <w:rFonts w:ascii="Arial" w:hAnsi="Arial" w:cs="Arial"/>
          <w:i/>
          <w:sz w:val="18"/>
          <w:szCs w:val="18"/>
        </w:rPr>
        <w:t>,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 Se podrán adjudicar una o ambas partidas a un solo licitante o bien, cada partida a licitantes diferentes</w:t>
      </w:r>
      <w:r w:rsidR="00DA7857">
        <w:rPr>
          <w:rFonts w:ascii="Arial" w:hAnsi="Arial" w:cs="Arial"/>
          <w:i/>
          <w:sz w:val="18"/>
          <w:szCs w:val="18"/>
        </w:rPr>
        <w:t>”</w:t>
      </w:r>
      <w:r w:rsidR="00EF4299" w:rsidRPr="00EF4299">
        <w:rPr>
          <w:rFonts w:ascii="Arial" w:hAnsi="Arial" w:cs="Arial"/>
          <w:i/>
          <w:sz w:val="18"/>
          <w:szCs w:val="18"/>
        </w:rPr>
        <w:t>.</w:t>
      </w:r>
      <w:r w:rsidR="00D91012">
        <w:rPr>
          <w:bCs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  <w:r w:rsidR="00DA785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</w:t>
      </w:r>
      <w:r w:rsidR="00DA7857" w:rsidRPr="00514702">
        <w:rPr>
          <w:rFonts w:ascii="Arial" w:hAnsi="Arial" w:cs="Arial"/>
          <w:sz w:val="18"/>
          <w:szCs w:val="18"/>
        </w:rPr>
        <w:t xml:space="preserve"> 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 propuesta presentada y que se agreg</w:t>
      </w:r>
      <w:r w:rsidR="00CE4151">
        <w:rPr>
          <w:rFonts w:ascii="Arial" w:hAnsi="Arial" w:cs="Arial"/>
          <w:sz w:val="18"/>
          <w:szCs w:val="18"/>
        </w:rPr>
        <w:t xml:space="preserve">a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B2717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62713">
        <w:rPr>
          <w:rFonts w:ascii="Arial" w:hAnsi="Arial" w:cs="Arial"/>
          <w:b/>
          <w:sz w:val="18"/>
          <w:szCs w:val="18"/>
        </w:rPr>
        <w:t>“</w:t>
      </w:r>
      <w:r w:rsidR="00B2717C" w:rsidRPr="00C740AC">
        <w:rPr>
          <w:rFonts w:ascii="Arial" w:hAnsi="Arial" w:cs="Arial"/>
          <w:b/>
          <w:sz w:val="18"/>
          <w:szCs w:val="18"/>
        </w:rPr>
        <w:t xml:space="preserve">1” </w:t>
      </w:r>
      <w:r w:rsidR="00B2717C" w:rsidRPr="00C740AC">
        <w:rPr>
          <w:rFonts w:ascii="Arial" w:hAnsi="Arial" w:cs="Arial"/>
          <w:sz w:val="18"/>
          <w:szCs w:val="18"/>
        </w:rPr>
        <w:t>(</w:t>
      </w:r>
      <w:r w:rsidR="00C740AC" w:rsidRPr="00C740AC">
        <w:rPr>
          <w:rFonts w:ascii="Arial" w:hAnsi="Arial" w:cs="Arial"/>
          <w:sz w:val="18"/>
          <w:szCs w:val="18"/>
        </w:rPr>
        <w:t>5</w:t>
      </w:r>
      <w:r w:rsidR="00B2717C" w:rsidRPr="00C740AC">
        <w:rPr>
          <w:rFonts w:ascii="Arial" w:hAnsi="Arial" w:cs="Arial"/>
          <w:sz w:val="18"/>
          <w:szCs w:val="18"/>
        </w:rPr>
        <w:t xml:space="preserve"> páginas)</w:t>
      </w:r>
      <w:r w:rsidR="00B2717C" w:rsidRPr="00C740AC">
        <w:rPr>
          <w:rFonts w:ascii="Arial" w:hAnsi="Arial" w:cs="Arial"/>
          <w:b/>
          <w:sz w:val="18"/>
          <w:szCs w:val="18"/>
        </w:rPr>
        <w:t xml:space="preserve"> y</w:t>
      </w:r>
      <w:r w:rsidR="00B2717C" w:rsidRPr="00C740AC">
        <w:rPr>
          <w:rFonts w:ascii="Arial" w:hAnsi="Arial" w:cs="Arial"/>
          <w:sz w:val="18"/>
          <w:szCs w:val="18"/>
        </w:rPr>
        <w:t xml:space="preserve"> </w:t>
      </w:r>
      <w:r w:rsidR="00CE4151" w:rsidRPr="00C740A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C740AC">
        <w:rPr>
          <w:rFonts w:ascii="Arial" w:hAnsi="Arial" w:cs="Arial"/>
          <w:b/>
          <w:sz w:val="18"/>
          <w:szCs w:val="18"/>
        </w:rPr>
        <w:t>“</w:t>
      </w:r>
      <w:r w:rsidR="00CE4151" w:rsidRPr="00C740AC">
        <w:rPr>
          <w:rFonts w:ascii="Arial" w:hAnsi="Arial" w:cs="Arial"/>
          <w:b/>
          <w:sz w:val="18"/>
          <w:szCs w:val="18"/>
        </w:rPr>
        <w:t>2”</w:t>
      </w:r>
      <w:r w:rsidR="00B2717C" w:rsidRPr="00C740AC">
        <w:rPr>
          <w:rFonts w:ascii="Arial" w:hAnsi="Arial" w:cs="Arial"/>
          <w:b/>
          <w:sz w:val="18"/>
          <w:szCs w:val="18"/>
        </w:rPr>
        <w:t xml:space="preserve"> </w:t>
      </w:r>
      <w:r w:rsidR="00B2717C" w:rsidRPr="00C740AC">
        <w:rPr>
          <w:rFonts w:ascii="Arial" w:hAnsi="Arial" w:cs="Arial"/>
          <w:sz w:val="18"/>
          <w:szCs w:val="18"/>
        </w:rPr>
        <w:t>(</w:t>
      </w:r>
      <w:r w:rsidR="00C023D7" w:rsidRPr="00C740AC">
        <w:rPr>
          <w:rFonts w:ascii="Arial" w:hAnsi="Arial" w:cs="Arial"/>
          <w:sz w:val="18"/>
          <w:szCs w:val="18"/>
        </w:rPr>
        <w:t>5</w:t>
      </w:r>
      <w:r w:rsidR="00B2717C" w:rsidRPr="00C740AC">
        <w:rPr>
          <w:rFonts w:ascii="Arial" w:hAnsi="Arial" w:cs="Arial"/>
          <w:sz w:val="18"/>
          <w:szCs w:val="18"/>
        </w:rPr>
        <w:t xml:space="preserve"> páginas)</w:t>
      </w:r>
      <w:r w:rsidR="001451D1" w:rsidRPr="00C740AC">
        <w:rPr>
          <w:rFonts w:ascii="Arial" w:hAnsi="Arial" w:cs="Arial"/>
          <w:sz w:val="18"/>
          <w:szCs w:val="18"/>
        </w:rPr>
        <w:t>,</w:t>
      </w:r>
      <w:r w:rsidR="00F77EF4" w:rsidRPr="003D5E35">
        <w:rPr>
          <w:rFonts w:ascii="Arial" w:hAnsi="Arial" w:cs="Arial"/>
          <w:sz w:val="18"/>
          <w:szCs w:val="18"/>
        </w:rPr>
        <w:t xml:space="preserve"> a</w:t>
      </w:r>
      <w:r w:rsidR="00F77EF4">
        <w:rPr>
          <w:rFonts w:ascii="Arial" w:hAnsi="Arial" w:cs="Arial"/>
          <w:sz w:val="18"/>
          <w:szCs w:val="18"/>
        </w:rPr>
        <w:t xml:space="preserve"> considerar:</w:t>
      </w:r>
      <w:r w:rsidR="00C161FA">
        <w:rPr>
          <w:rFonts w:ascii="Arial" w:hAnsi="Arial" w:cs="Arial"/>
          <w:sz w:val="18"/>
          <w:szCs w:val="18"/>
        </w:rPr>
        <w:t>-------------------</w:t>
      </w:r>
    </w:p>
    <w:p w14:paraId="2C17F471" w14:textId="6F682FD8" w:rsidR="00D91012" w:rsidRDefault="00D91012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1A08486" w14:textId="78869F8C" w:rsidR="00C161FA" w:rsidRDefault="00C161FA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</w:t>
      </w:r>
      <w:r w:rsidR="00325DE9">
        <w:rPr>
          <w:rFonts w:ascii="Arial" w:hAnsi="Arial" w:cs="Arial"/>
          <w:sz w:val="18"/>
          <w:szCs w:val="18"/>
        </w:rPr>
        <w:t>-------------</w:t>
      </w:r>
      <w:r w:rsidR="001451D1">
        <w:rPr>
          <w:rFonts w:ascii="Arial" w:hAnsi="Arial" w:cs="Arial"/>
          <w:sz w:val="18"/>
          <w:szCs w:val="18"/>
        </w:rPr>
        <w:t>---------------</w:t>
      </w:r>
    </w:p>
    <w:p w14:paraId="36BD43BF" w14:textId="77777777" w:rsidR="00C023D7" w:rsidRDefault="00C023D7" w:rsidP="00C023D7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A346E0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91012" w:rsidRPr="005761E8" w14:paraId="200753B6" w14:textId="77777777" w:rsidTr="00156416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D91012" w:rsidRPr="00D91012" w:rsidRDefault="00D91012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78D72856" w:rsidR="00D91012" w:rsidRPr="00C023D7" w:rsidRDefault="00DA7857" w:rsidP="00D910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023D7">
              <w:rPr>
                <w:rFonts w:ascii="Arial" w:hAnsi="Arial" w:cs="Arial"/>
                <w:sz w:val="16"/>
                <w:szCs w:val="16"/>
              </w:rPr>
              <w:t>INGENIERIA DE SISTEMAS AVANZADOS DEL CENTRO, S.A. DE C.V.</w:t>
            </w:r>
          </w:p>
        </w:tc>
        <w:tc>
          <w:tcPr>
            <w:tcW w:w="3879" w:type="pct"/>
          </w:tcPr>
          <w:p w14:paraId="75096105" w14:textId="4FAFBB07" w:rsidR="00D91012" w:rsidRPr="00C023D7" w:rsidRDefault="00D91012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33281A" w:rsidRPr="00C023D7">
              <w:rPr>
                <w:rFonts w:ascii="Arial" w:hAnsi="Arial" w:cs="Arial"/>
                <w:b/>
                <w:sz w:val="16"/>
                <w:szCs w:val="16"/>
              </w:rPr>
              <w:t xml:space="preserve">1 </w:t>
            </w:r>
            <w:r w:rsidR="00DA7857" w:rsidRPr="00C023D7">
              <w:rPr>
                <w:rFonts w:ascii="Arial" w:hAnsi="Arial" w:cs="Arial"/>
                <w:b/>
                <w:sz w:val="16"/>
                <w:szCs w:val="16"/>
              </w:rPr>
              <w:t>con subpartidas, 2, 3 y 4</w:t>
            </w:r>
            <w:r w:rsidR="0033281A" w:rsidRPr="00C023D7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03DBEABD" w14:textId="45F0FF30" w:rsidR="00D91012" w:rsidRPr="00C023D7" w:rsidRDefault="00D91012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23D7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C023D7">
              <w:rPr>
                <w:rFonts w:ascii="Arial" w:hAnsi="Arial" w:cs="Arial"/>
                <w:sz w:val="16"/>
                <w:szCs w:val="16"/>
              </w:rPr>
              <w:t>, presenta y cumple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conforme lo establecido y detallado en los Anexos 1 y 2</w:t>
            </w:r>
            <w:r w:rsidRPr="00C023D7">
              <w:rPr>
                <w:rFonts w:ascii="Arial" w:hAnsi="Arial" w:cs="Arial"/>
                <w:sz w:val="16"/>
                <w:szCs w:val="16"/>
              </w:rPr>
              <w:t>.</w:t>
            </w:r>
            <w:r w:rsidR="0033281A" w:rsidRPr="00C023D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C91A1F" w14:textId="77777777" w:rsidR="00D91012" w:rsidRPr="00C023D7" w:rsidRDefault="00D91012" w:rsidP="00D910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FBD95A" w14:textId="616702D0" w:rsidR="00D91012" w:rsidRPr="00BC656D" w:rsidRDefault="00BC656D" w:rsidP="00D9101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BC656D">
              <w:rPr>
                <w:rFonts w:ascii="Arial" w:hAnsi="Arial" w:cs="Arial"/>
                <w:sz w:val="14"/>
                <w:szCs w:val="14"/>
              </w:rPr>
              <w:t xml:space="preserve">Revisión Técnica realizada por la Directora General de Planeación y Desarrollo, la Dra. En C.A. Elena Patricia Mojica Carrillo; el Jefe del Departamento de Redes y Telecomunicaciones, Ing. Abraham Rodríguez Méndez; el Jefe de Sección de Seguridad Tecnológica y Tecnologías Educativas del DRYT, Ing. Miguel Ángel Hernández y por el Jefe de Sección de Red Institucional del DRYT de la DGPyD Ing. José Antonio Pérez Hernández, conforme a los anexos de la Convocatoria </w:t>
            </w:r>
            <w:r w:rsidRPr="00BC656D">
              <w:rPr>
                <w:rFonts w:ascii="Arial" w:hAnsi="Arial" w:cs="Arial"/>
                <w:b/>
                <w:sz w:val="14"/>
                <w:szCs w:val="14"/>
              </w:rPr>
              <w:t>LPN E/901045968-010-2024.</w:t>
            </w:r>
          </w:p>
          <w:p w14:paraId="57CE0D1D" w14:textId="77777777" w:rsidR="00D91012" w:rsidRPr="00BC656D" w:rsidRDefault="00D91012" w:rsidP="00D91012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9035602" w14:textId="4EE9F891" w:rsidR="00EC3A2F" w:rsidRPr="006B6CE2" w:rsidRDefault="0033281A" w:rsidP="00D91012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C023D7">
              <w:rPr>
                <w:rFonts w:ascii="Arial" w:hAnsi="Arial" w:cs="Arial"/>
                <w:sz w:val="14"/>
                <w:szCs w:val="14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</w:tbl>
    <w:p w14:paraId="48105D0D" w14:textId="3E77C7A3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61CA5E9E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CC7137" w:rsidRPr="00CC7137">
        <w:rPr>
          <w:rFonts w:ascii="Arial" w:hAnsi="Arial" w:cs="Arial"/>
          <w:i/>
          <w:sz w:val="18"/>
          <w:szCs w:val="18"/>
          <w:lang w:val="es-ES"/>
        </w:rPr>
        <w:t xml:space="preserve">Los servicios se adjudicarán por conjunto de partidas y de manera individual,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 Se podrán adjudicar una o ambas partidas a un solo licitante o bien, cada </w:t>
      </w:r>
      <w:r w:rsidR="00CC7137">
        <w:rPr>
          <w:rFonts w:ascii="Arial" w:hAnsi="Arial" w:cs="Arial"/>
          <w:i/>
          <w:sz w:val="18"/>
          <w:szCs w:val="18"/>
          <w:lang w:val="es-ES"/>
        </w:rPr>
        <w:t>partida a licitantes diferentes</w:t>
      </w:r>
      <w:r w:rsidR="00B2717C">
        <w:rPr>
          <w:rFonts w:asciiTheme="minorHAnsi" w:hAnsiTheme="minorHAnsi" w:cstheme="minorHAnsi"/>
          <w:i/>
          <w:color w:val="000000"/>
          <w:sz w:val="18"/>
          <w:szCs w:val="18"/>
        </w:rPr>
        <w:t>”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</w:t>
      </w:r>
      <w:r w:rsidR="00CC7137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</w:t>
      </w:r>
    </w:p>
    <w:p w14:paraId="4959E1DA" w14:textId="57D110AE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90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59"/>
        <w:gridCol w:w="2329"/>
        <w:gridCol w:w="910"/>
        <w:gridCol w:w="901"/>
        <w:gridCol w:w="1688"/>
        <w:gridCol w:w="1240"/>
        <w:gridCol w:w="1240"/>
      </w:tblGrid>
      <w:tr w:rsidR="00CC4D03" w:rsidRPr="00BC656D" w14:paraId="6C95B834" w14:textId="77777777" w:rsidTr="006B6CE2">
        <w:trPr>
          <w:trHeight w:val="450"/>
          <w:jc w:val="center"/>
        </w:trPr>
        <w:tc>
          <w:tcPr>
            <w:tcW w:w="759" w:type="dxa"/>
            <w:shd w:val="clear" w:color="auto" w:fill="F2F2F2" w:themeFill="background1" w:themeFillShade="F2"/>
            <w:vAlign w:val="center"/>
            <w:hideMark/>
          </w:tcPr>
          <w:p w14:paraId="0DC922E9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2329" w:type="dxa"/>
            <w:shd w:val="clear" w:color="auto" w:fill="F2F2F2" w:themeFill="background1" w:themeFillShade="F2"/>
            <w:vAlign w:val="center"/>
            <w:hideMark/>
          </w:tcPr>
          <w:p w14:paraId="784D0E39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Descripción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  <w:hideMark/>
          </w:tcPr>
          <w:p w14:paraId="3F2788C8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901" w:type="dxa"/>
            <w:shd w:val="clear" w:color="auto" w:fill="F2F2F2" w:themeFill="background1" w:themeFillShade="F2"/>
            <w:noWrap/>
            <w:vAlign w:val="center"/>
            <w:hideMark/>
          </w:tcPr>
          <w:p w14:paraId="6AB74608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1688" w:type="dxa"/>
            <w:shd w:val="clear" w:color="auto" w:fill="F2F2F2" w:themeFill="background1" w:themeFillShade="F2"/>
            <w:vAlign w:val="center"/>
          </w:tcPr>
          <w:p w14:paraId="140697E5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Empresa Adjudicada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5BFDF0C0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Unitario Antes IVA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3809D74F" w14:textId="77777777" w:rsidR="00CC4D03" w:rsidRPr="00BC656D" w:rsidRDefault="00CC4D03" w:rsidP="00CC4D03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Total Antes IVA</w:t>
            </w:r>
          </w:p>
        </w:tc>
      </w:tr>
      <w:tr w:rsidR="006B6CE2" w:rsidRPr="00BC656D" w14:paraId="457FFB1B" w14:textId="77777777" w:rsidTr="006B6CE2">
        <w:trPr>
          <w:trHeight w:val="207"/>
          <w:jc w:val="center"/>
        </w:trPr>
        <w:tc>
          <w:tcPr>
            <w:tcW w:w="759" w:type="dxa"/>
            <w:vMerge w:val="restart"/>
            <w:shd w:val="clear" w:color="auto" w:fill="auto"/>
            <w:noWrap/>
            <w:vAlign w:val="center"/>
            <w:hideMark/>
          </w:tcPr>
          <w:p w14:paraId="21069468" w14:textId="1047BADE" w:rsidR="006B6CE2" w:rsidRPr="00BC656D" w:rsidRDefault="006B6CE2" w:rsidP="00F64D6B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1</w:t>
            </w:r>
          </w:p>
        </w:tc>
        <w:tc>
          <w:tcPr>
            <w:tcW w:w="2329" w:type="dxa"/>
            <w:vMerge w:val="restart"/>
            <w:shd w:val="clear" w:color="auto" w:fill="auto"/>
            <w:vAlign w:val="center"/>
            <w:hideMark/>
          </w:tcPr>
          <w:p w14:paraId="12D0EB8F" w14:textId="77777777" w:rsidR="006B6CE2" w:rsidRPr="00BC656D" w:rsidRDefault="006B6CE2" w:rsidP="00CE1BB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139E65BC" w14:textId="5C8F5F41" w:rsidR="006B6CE2" w:rsidRPr="00BC656D" w:rsidRDefault="006B6CE2" w:rsidP="00CE1BB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Renovación de licenciamiento institucional Microsoft.</w:t>
            </w:r>
            <w:r w:rsidR="00F64D6B">
              <w:rPr>
                <w:rFonts w:ascii="Arial" w:hAnsi="Arial" w:cs="Arial"/>
                <w:color w:val="000000"/>
                <w:sz w:val="15"/>
                <w:szCs w:val="15"/>
              </w:rPr>
              <w:t xml:space="preserve"> </w:t>
            </w:r>
          </w:p>
          <w:p w14:paraId="147810DB" w14:textId="2B5218D5" w:rsidR="006B6CE2" w:rsidRPr="00BC656D" w:rsidRDefault="006B6CE2" w:rsidP="00CE1BB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 w:val="restart"/>
            <w:shd w:val="clear" w:color="auto" w:fill="auto"/>
            <w:vAlign w:val="center"/>
            <w:hideMark/>
          </w:tcPr>
          <w:p w14:paraId="5D2B6870" w14:textId="7A9C5A6C" w:rsidR="006B6CE2" w:rsidRPr="00BC656D" w:rsidRDefault="006B6CE2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Paquete</w:t>
            </w:r>
          </w:p>
        </w:tc>
        <w:tc>
          <w:tcPr>
            <w:tcW w:w="901" w:type="dxa"/>
            <w:vMerge w:val="restart"/>
            <w:shd w:val="clear" w:color="auto" w:fill="auto"/>
            <w:noWrap/>
            <w:vAlign w:val="center"/>
            <w:hideMark/>
          </w:tcPr>
          <w:p w14:paraId="65528A72" w14:textId="5EB01F00" w:rsidR="006B6CE2" w:rsidRPr="00BC656D" w:rsidRDefault="006B6CE2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01</w:t>
            </w:r>
          </w:p>
        </w:tc>
        <w:tc>
          <w:tcPr>
            <w:tcW w:w="1688" w:type="dxa"/>
            <w:vMerge w:val="restart"/>
            <w:vAlign w:val="center"/>
          </w:tcPr>
          <w:p w14:paraId="2A9617A0" w14:textId="5E5D44A0" w:rsidR="006B6CE2" w:rsidRPr="00BC656D" w:rsidRDefault="006B6CE2" w:rsidP="00E57EEE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INGENIERIA DE SISTEMAS AVANZADOS DEL CENTRO, S.A. DE C.V.</w:t>
            </w:r>
          </w:p>
        </w:tc>
        <w:tc>
          <w:tcPr>
            <w:tcW w:w="1240" w:type="dxa"/>
          </w:tcPr>
          <w:p w14:paraId="2B3B7295" w14:textId="77777777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23FB3158" w14:textId="77777777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$1,526,844.97</w:t>
            </w:r>
          </w:p>
          <w:p w14:paraId="5B15114B" w14:textId="4E1558C4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40" w:type="dxa"/>
          </w:tcPr>
          <w:p w14:paraId="5DA152BD" w14:textId="77777777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2453E9D" w14:textId="2202B9DF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$1,526,844.97</w:t>
            </w:r>
          </w:p>
        </w:tc>
      </w:tr>
      <w:tr w:rsidR="006B6CE2" w:rsidRPr="00BC656D" w14:paraId="4A84BEFB" w14:textId="77777777" w:rsidTr="00272276">
        <w:trPr>
          <w:trHeight w:val="206"/>
          <w:jc w:val="center"/>
        </w:trPr>
        <w:tc>
          <w:tcPr>
            <w:tcW w:w="759" w:type="dxa"/>
            <w:vMerge/>
            <w:shd w:val="clear" w:color="auto" w:fill="auto"/>
            <w:noWrap/>
          </w:tcPr>
          <w:p w14:paraId="6EA8BF3B" w14:textId="77777777" w:rsidR="006B6CE2" w:rsidRPr="00BC656D" w:rsidRDefault="006B6CE2" w:rsidP="00CC4D0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2329" w:type="dxa"/>
            <w:vMerge/>
            <w:shd w:val="clear" w:color="auto" w:fill="auto"/>
          </w:tcPr>
          <w:p w14:paraId="5ABD1EFC" w14:textId="77777777" w:rsidR="006B6CE2" w:rsidRPr="00BC656D" w:rsidRDefault="006B6CE2" w:rsidP="00CE1BB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245AA0C3" w14:textId="77777777" w:rsidR="006B6CE2" w:rsidRPr="00BC656D" w:rsidRDefault="006B6CE2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</w:tcPr>
          <w:p w14:paraId="43D60BF1" w14:textId="77777777" w:rsidR="006B6CE2" w:rsidRPr="00BC656D" w:rsidRDefault="006B6CE2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88" w:type="dxa"/>
            <w:vMerge/>
            <w:vAlign w:val="center"/>
          </w:tcPr>
          <w:p w14:paraId="0594F1C0" w14:textId="77777777" w:rsidR="006B6CE2" w:rsidRPr="00BC656D" w:rsidRDefault="006B6CE2" w:rsidP="00E57EE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2480" w:type="dxa"/>
            <w:gridSpan w:val="2"/>
            <w:shd w:val="clear" w:color="auto" w:fill="F2F2F2" w:themeFill="background1" w:themeFillShade="F2"/>
          </w:tcPr>
          <w:p w14:paraId="4540302B" w14:textId="7DB2D261" w:rsidR="006B6CE2" w:rsidRPr="00BC656D" w:rsidRDefault="006B6CE2" w:rsidP="00D43581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Precio en dólares americanos</w:t>
            </w:r>
          </w:p>
        </w:tc>
      </w:tr>
      <w:tr w:rsidR="006B6CE2" w:rsidRPr="00BC656D" w14:paraId="38C46A22" w14:textId="77777777" w:rsidTr="006B6CE2">
        <w:trPr>
          <w:trHeight w:val="206"/>
          <w:jc w:val="center"/>
        </w:trPr>
        <w:tc>
          <w:tcPr>
            <w:tcW w:w="759" w:type="dxa"/>
            <w:vMerge/>
            <w:shd w:val="clear" w:color="auto" w:fill="auto"/>
            <w:noWrap/>
          </w:tcPr>
          <w:p w14:paraId="619F8976" w14:textId="77777777" w:rsidR="006B6CE2" w:rsidRPr="00BC656D" w:rsidRDefault="006B6CE2" w:rsidP="00CC4D03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</w:p>
        </w:tc>
        <w:tc>
          <w:tcPr>
            <w:tcW w:w="2329" w:type="dxa"/>
            <w:vMerge/>
            <w:shd w:val="clear" w:color="auto" w:fill="auto"/>
          </w:tcPr>
          <w:p w14:paraId="40694B62" w14:textId="77777777" w:rsidR="006B6CE2" w:rsidRPr="00BC656D" w:rsidRDefault="006B6CE2" w:rsidP="00CE1BBE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227DCE70" w14:textId="77777777" w:rsidR="006B6CE2" w:rsidRPr="00BC656D" w:rsidRDefault="006B6CE2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01" w:type="dxa"/>
            <w:vMerge/>
            <w:shd w:val="clear" w:color="auto" w:fill="auto"/>
            <w:noWrap/>
          </w:tcPr>
          <w:p w14:paraId="4F655E60" w14:textId="77777777" w:rsidR="006B6CE2" w:rsidRPr="00BC656D" w:rsidRDefault="006B6CE2" w:rsidP="00CC4D03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88" w:type="dxa"/>
            <w:vMerge/>
            <w:vAlign w:val="center"/>
          </w:tcPr>
          <w:p w14:paraId="7EE271D9" w14:textId="77777777" w:rsidR="006B6CE2" w:rsidRPr="00BC656D" w:rsidRDefault="006B6CE2" w:rsidP="00E57EEE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40" w:type="dxa"/>
          </w:tcPr>
          <w:p w14:paraId="7BFC426E" w14:textId="77777777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4E081FA3" w14:textId="77777777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$89,814.41</w:t>
            </w:r>
          </w:p>
          <w:p w14:paraId="50367E07" w14:textId="0A9D4260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240" w:type="dxa"/>
          </w:tcPr>
          <w:p w14:paraId="75FFFBAD" w14:textId="77777777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14:paraId="558DB778" w14:textId="3D11FC11" w:rsidR="006B6CE2" w:rsidRPr="00BC656D" w:rsidRDefault="006B6CE2" w:rsidP="00D43581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$89,814.41</w:t>
            </w:r>
          </w:p>
        </w:tc>
      </w:tr>
      <w:tr w:rsidR="00F36B28" w:rsidRPr="00BC656D" w14:paraId="7E4A0B55" w14:textId="77777777" w:rsidTr="00F36B28">
        <w:trPr>
          <w:trHeight w:val="300"/>
          <w:jc w:val="center"/>
        </w:trPr>
        <w:tc>
          <w:tcPr>
            <w:tcW w:w="759" w:type="dxa"/>
            <w:shd w:val="clear" w:color="auto" w:fill="F2F2F2" w:themeFill="background1" w:themeFillShade="F2"/>
            <w:noWrap/>
            <w:vAlign w:val="center"/>
          </w:tcPr>
          <w:p w14:paraId="35C068C0" w14:textId="454C120A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Partida</w:t>
            </w:r>
          </w:p>
        </w:tc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317F626C" w14:textId="125CE3B3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Descripción</w:t>
            </w:r>
          </w:p>
        </w:tc>
        <w:tc>
          <w:tcPr>
            <w:tcW w:w="910" w:type="dxa"/>
            <w:shd w:val="clear" w:color="auto" w:fill="F2F2F2" w:themeFill="background1" w:themeFillShade="F2"/>
            <w:vAlign w:val="center"/>
          </w:tcPr>
          <w:p w14:paraId="7EEF8673" w14:textId="10980A3E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 Medida</w:t>
            </w:r>
          </w:p>
        </w:tc>
        <w:tc>
          <w:tcPr>
            <w:tcW w:w="901" w:type="dxa"/>
            <w:shd w:val="clear" w:color="auto" w:fill="F2F2F2" w:themeFill="background1" w:themeFillShade="F2"/>
            <w:noWrap/>
            <w:vAlign w:val="center"/>
          </w:tcPr>
          <w:p w14:paraId="4605D2FA" w14:textId="33CDB98D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1688" w:type="dxa"/>
            <w:vMerge/>
            <w:vAlign w:val="center"/>
          </w:tcPr>
          <w:p w14:paraId="687B9B8E" w14:textId="77777777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690B9583" w14:textId="30C7838E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Unitario Antes IVA</w:t>
            </w:r>
          </w:p>
        </w:tc>
        <w:tc>
          <w:tcPr>
            <w:tcW w:w="1240" w:type="dxa"/>
            <w:shd w:val="clear" w:color="auto" w:fill="F2F2F2" w:themeFill="background1" w:themeFillShade="F2"/>
            <w:vAlign w:val="center"/>
          </w:tcPr>
          <w:p w14:paraId="7C73B740" w14:textId="710E9F3F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sz w:val="15"/>
                <w:szCs w:val="15"/>
              </w:rPr>
              <w:t>Precio Total Antes IVA</w:t>
            </w:r>
          </w:p>
        </w:tc>
      </w:tr>
      <w:tr w:rsidR="00F36B28" w:rsidRPr="00BC656D" w14:paraId="342E50EE" w14:textId="77777777" w:rsidTr="006B6CE2">
        <w:trPr>
          <w:trHeight w:val="300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 w14:paraId="429E2F41" w14:textId="42DC44CA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2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4987B3BE" w14:textId="40AA715F" w:rsidR="00F36B28" w:rsidRPr="00BC656D" w:rsidRDefault="00F36B28" w:rsidP="00F36B2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Renovación anual de Certificado de Antivirus Licencias Kaspersky Endpoint Security for Business (código de producto KL4863ZARTR)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760765C6" w14:textId="6422AAC1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Servicio Anual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4D85066" w14:textId="4DEE6054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01</w:t>
            </w:r>
          </w:p>
        </w:tc>
        <w:tc>
          <w:tcPr>
            <w:tcW w:w="1688" w:type="dxa"/>
            <w:vMerge/>
            <w:vAlign w:val="center"/>
          </w:tcPr>
          <w:p w14:paraId="49910915" w14:textId="57BDAB36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40" w:type="dxa"/>
            <w:vAlign w:val="center"/>
          </w:tcPr>
          <w:p w14:paraId="5C165507" w14:textId="1254BA8B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$37,407.00</w:t>
            </w:r>
          </w:p>
        </w:tc>
        <w:tc>
          <w:tcPr>
            <w:tcW w:w="1240" w:type="dxa"/>
            <w:vAlign w:val="center"/>
          </w:tcPr>
          <w:p w14:paraId="5FC8C4AF" w14:textId="2B19EAD2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$37,407.00</w:t>
            </w:r>
          </w:p>
        </w:tc>
      </w:tr>
      <w:tr w:rsidR="00F36B28" w:rsidRPr="00BC656D" w14:paraId="027CD65D" w14:textId="77777777" w:rsidTr="006B6CE2">
        <w:trPr>
          <w:trHeight w:val="300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 w14:paraId="10061E51" w14:textId="3E2FFFC4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3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041F29D7" w14:textId="342E1E3F" w:rsidR="00F36B28" w:rsidRPr="00C42FCC" w:rsidRDefault="00F36B28" w:rsidP="00F36B2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proofErr w:type="spellStart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Renovación</w:t>
            </w:r>
            <w:proofErr w:type="spellEnd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Fortinet 2024</w:t>
            </w:r>
          </w:p>
          <w:p w14:paraId="55C5D208" w14:textId="756EB9AF" w:rsidR="00F36B28" w:rsidRPr="00C42FCC" w:rsidRDefault="00F36B28" w:rsidP="00F36B2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proofErr w:type="spellStart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FortiAnalyzer</w:t>
            </w:r>
            <w:proofErr w:type="spellEnd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-VM 1 Year </w:t>
            </w:r>
            <w:proofErr w:type="spellStart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FortiCare</w:t>
            </w:r>
            <w:proofErr w:type="spellEnd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Premium Support &amp; IOC and Outbreak Detection Service 1-6Gb/Day of logs.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2117571F" w14:textId="43A66CD7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Servicio Anual (Licencia)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17760E6A" w14:textId="71E34A71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01</w:t>
            </w:r>
          </w:p>
        </w:tc>
        <w:tc>
          <w:tcPr>
            <w:tcW w:w="1688" w:type="dxa"/>
            <w:vMerge/>
            <w:vAlign w:val="center"/>
          </w:tcPr>
          <w:p w14:paraId="2713BD4B" w14:textId="77777777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40" w:type="dxa"/>
            <w:vAlign w:val="center"/>
          </w:tcPr>
          <w:p w14:paraId="3B51B658" w14:textId="40715A8A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$35,177.20</w:t>
            </w:r>
          </w:p>
        </w:tc>
        <w:tc>
          <w:tcPr>
            <w:tcW w:w="1240" w:type="dxa"/>
            <w:vAlign w:val="center"/>
          </w:tcPr>
          <w:p w14:paraId="48CD2E7A" w14:textId="5480E3D9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$35,177.20</w:t>
            </w:r>
          </w:p>
        </w:tc>
      </w:tr>
      <w:tr w:rsidR="00F36B28" w:rsidRPr="00BC656D" w14:paraId="5A1602F4" w14:textId="77777777" w:rsidTr="006B6CE2">
        <w:trPr>
          <w:trHeight w:val="300"/>
          <w:jc w:val="center"/>
        </w:trPr>
        <w:tc>
          <w:tcPr>
            <w:tcW w:w="759" w:type="dxa"/>
            <w:shd w:val="clear" w:color="auto" w:fill="auto"/>
            <w:noWrap/>
            <w:vAlign w:val="center"/>
          </w:tcPr>
          <w:p w14:paraId="72E3336F" w14:textId="71D19963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b/>
                <w:color w:val="000000"/>
                <w:sz w:val="15"/>
                <w:szCs w:val="15"/>
              </w:rPr>
              <w:t>4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11392FC0" w14:textId="56347737" w:rsidR="00F36B28" w:rsidRPr="00C42FCC" w:rsidRDefault="00F36B28" w:rsidP="00F36B28">
            <w:pPr>
              <w:jc w:val="both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Fortigate-601E 1 Year UTP (IPS, Advanced Malware Protection, Application Control, URL, DNS &amp; Video Filtering, Antispam Service, And </w:t>
            </w:r>
            <w:proofErr w:type="spellStart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Forticare</w:t>
            </w:r>
            <w:proofErr w:type="spellEnd"/>
            <w:r w:rsidRPr="00C42FCC"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 xml:space="preserve"> Premium)</w:t>
            </w:r>
          </w:p>
        </w:tc>
        <w:tc>
          <w:tcPr>
            <w:tcW w:w="910" w:type="dxa"/>
            <w:shd w:val="clear" w:color="auto" w:fill="auto"/>
            <w:vAlign w:val="center"/>
          </w:tcPr>
          <w:p w14:paraId="59E98721" w14:textId="17799AD1" w:rsidR="00F36B28" w:rsidRPr="00BC656D" w:rsidRDefault="00F36B28" w:rsidP="00F36B28">
            <w:pPr>
              <w:jc w:val="center"/>
              <w:rPr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Servicio Anual (Licencia)</w:t>
            </w:r>
          </w:p>
        </w:tc>
        <w:tc>
          <w:tcPr>
            <w:tcW w:w="901" w:type="dxa"/>
            <w:shd w:val="clear" w:color="auto" w:fill="auto"/>
            <w:noWrap/>
            <w:vAlign w:val="center"/>
          </w:tcPr>
          <w:p w14:paraId="6EF1E789" w14:textId="6DE837D5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01</w:t>
            </w:r>
          </w:p>
        </w:tc>
        <w:tc>
          <w:tcPr>
            <w:tcW w:w="1688" w:type="dxa"/>
            <w:vMerge/>
            <w:vAlign w:val="center"/>
          </w:tcPr>
          <w:p w14:paraId="514C57D9" w14:textId="77777777" w:rsidR="00F36B28" w:rsidRPr="00BC656D" w:rsidRDefault="00F36B28" w:rsidP="00F36B28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1240" w:type="dxa"/>
            <w:vAlign w:val="center"/>
          </w:tcPr>
          <w:p w14:paraId="78D2FB04" w14:textId="0ED5300A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$161,839.07</w:t>
            </w:r>
          </w:p>
        </w:tc>
        <w:tc>
          <w:tcPr>
            <w:tcW w:w="1240" w:type="dxa"/>
            <w:vAlign w:val="center"/>
          </w:tcPr>
          <w:p w14:paraId="50F4CAD4" w14:textId="17BCA18B" w:rsidR="00F36B28" w:rsidRPr="00BC656D" w:rsidRDefault="00F36B28" w:rsidP="00F36B28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 w:rsidRPr="00BC656D">
              <w:rPr>
                <w:rFonts w:ascii="Arial" w:hAnsi="Arial" w:cs="Arial"/>
                <w:color w:val="000000"/>
                <w:sz w:val="15"/>
                <w:szCs w:val="15"/>
              </w:rPr>
              <w:t>$161,839.07</w:t>
            </w:r>
          </w:p>
        </w:tc>
      </w:tr>
    </w:tbl>
    <w:p w14:paraId="2C8AFB2F" w14:textId="78289811" w:rsidR="00ED5EAC" w:rsidRPr="0056447E" w:rsidRDefault="00ED5EAC" w:rsidP="00ED5EAC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  <w:r w:rsidR="00695B8A">
        <w:rPr>
          <w:rFonts w:ascii="Arial" w:hAnsi="Arial" w:cs="Arial"/>
          <w:sz w:val="18"/>
          <w:szCs w:val="18"/>
        </w:rPr>
        <w:t>-</w:t>
      </w:r>
    </w:p>
    <w:p w14:paraId="281379DE" w14:textId="3CDCBC43" w:rsidR="00CF0F48" w:rsidRPr="003B7915" w:rsidRDefault="00A31430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33E04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Pr="00071B47">
        <w:rPr>
          <w:rFonts w:ascii="Arial" w:hAnsi="Arial" w:cs="Arial"/>
          <w:sz w:val="18"/>
          <w:szCs w:val="18"/>
        </w:rPr>
        <w:t>de la Ley,</w:t>
      </w:r>
      <w:r w:rsidRPr="00F22ACF">
        <w:rPr>
          <w:rFonts w:ascii="Arial" w:hAnsi="Arial" w:cs="Arial"/>
          <w:sz w:val="18"/>
          <w:szCs w:val="18"/>
        </w:rPr>
        <w:t xml:space="preserve"> a</w:t>
      </w:r>
      <w:r w:rsidRPr="00C44D6A">
        <w:rPr>
          <w:rFonts w:ascii="Arial" w:hAnsi="Arial" w:cs="Arial"/>
          <w:sz w:val="18"/>
          <w:szCs w:val="18"/>
        </w:rPr>
        <w:t xml:space="preserve">sí como en el </w:t>
      </w:r>
      <w:r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Pr="00071B47">
        <w:rPr>
          <w:rFonts w:ascii="Arial" w:hAnsi="Arial" w:cs="Arial"/>
          <w:sz w:val="18"/>
          <w:szCs w:val="18"/>
        </w:rPr>
        <w:t xml:space="preserve">, </w:t>
      </w:r>
      <w:r w:rsidRPr="00C44D6A">
        <w:rPr>
          <w:rFonts w:ascii="Arial" w:hAnsi="Arial" w:cs="Arial"/>
          <w:sz w:val="18"/>
          <w:szCs w:val="18"/>
        </w:rPr>
        <w:t>de las bases de esta</w:t>
      </w:r>
      <w:r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14FA0780" w14:textId="61BFF543" w:rsidR="007E0989" w:rsidRPr="00DA7857" w:rsidRDefault="00B2717C" w:rsidP="00DA7857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 xml:space="preserve">La propuesta presentada y adjudicada para las partidas </w:t>
      </w:r>
      <w:r w:rsidRPr="002964C7">
        <w:rPr>
          <w:rFonts w:ascii="Arial" w:hAnsi="Arial" w:cs="Arial"/>
          <w:b/>
          <w:bCs/>
          <w:sz w:val="18"/>
          <w:szCs w:val="18"/>
        </w:rPr>
        <w:t>1</w:t>
      </w:r>
      <w:r w:rsidR="00DA7857">
        <w:rPr>
          <w:rFonts w:ascii="Arial" w:hAnsi="Arial" w:cs="Arial"/>
          <w:b/>
          <w:bCs/>
          <w:sz w:val="18"/>
          <w:szCs w:val="18"/>
        </w:rPr>
        <w:t xml:space="preserve"> con subpartidas, 2, 3 y 4</w:t>
      </w:r>
      <w:r>
        <w:rPr>
          <w:rFonts w:ascii="Arial" w:hAnsi="Arial" w:cs="Arial"/>
          <w:bCs/>
          <w:sz w:val="18"/>
          <w:szCs w:val="18"/>
        </w:rPr>
        <w:t>, cuentan con suficiencia presupuestal</w:t>
      </w:r>
      <w:r w:rsidR="00DA7857">
        <w:rPr>
          <w:rFonts w:ascii="Arial" w:hAnsi="Arial" w:cs="Arial"/>
          <w:bCs/>
          <w:sz w:val="18"/>
          <w:szCs w:val="18"/>
        </w:rPr>
        <w:t xml:space="preserve"> conforme a lo establecido en los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2964C7">
        <w:rPr>
          <w:rFonts w:ascii="Arial" w:hAnsi="Arial" w:cs="Arial"/>
          <w:bCs/>
          <w:sz w:val="18"/>
          <w:szCs w:val="18"/>
        </w:rPr>
        <w:t>oficio</w:t>
      </w:r>
      <w:r w:rsidR="00DA7857">
        <w:rPr>
          <w:rFonts w:ascii="Arial" w:hAnsi="Arial" w:cs="Arial"/>
          <w:bCs/>
          <w:sz w:val="18"/>
          <w:szCs w:val="18"/>
        </w:rPr>
        <w:t>s</w:t>
      </w:r>
      <w:r w:rsidR="002964C7">
        <w:rPr>
          <w:rFonts w:ascii="Arial" w:hAnsi="Arial" w:cs="Arial"/>
          <w:bCs/>
          <w:sz w:val="18"/>
          <w:szCs w:val="18"/>
        </w:rPr>
        <w:t xml:space="preserve"> </w:t>
      </w:r>
      <w:r w:rsidR="00DA7857" w:rsidRPr="00DA7857">
        <w:rPr>
          <w:rFonts w:ascii="Arial" w:hAnsi="Arial" w:cs="Arial"/>
          <w:b/>
          <w:sz w:val="18"/>
          <w:szCs w:val="18"/>
        </w:rPr>
        <w:t>DGF/DPAF-122/2024 y DGF/DPAF-160/2024</w:t>
      </w:r>
      <w:r w:rsidR="002964C7" w:rsidRPr="009C6185">
        <w:rPr>
          <w:rFonts w:ascii="Arial" w:hAnsi="Arial" w:cs="Arial"/>
          <w:sz w:val="18"/>
          <w:szCs w:val="18"/>
        </w:rPr>
        <w:t>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</w:t>
      </w:r>
      <w:r w:rsidR="00DA7857">
        <w:rPr>
          <w:rFonts w:ascii="Arial" w:hAnsi="Arial" w:cs="Arial"/>
          <w:sz w:val="18"/>
          <w:szCs w:val="18"/>
        </w:rPr>
        <w:t>-</w:t>
      </w:r>
    </w:p>
    <w:p w14:paraId="6F41931E" w14:textId="0A7D19DE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de </w:t>
      </w:r>
      <w:r w:rsidR="00102837" w:rsidRPr="000F4AE4">
        <w:rPr>
          <w:rFonts w:ascii="Arial" w:hAnsi="Arial" w:cs="Arial"/>
          <w:bCs/>
          <w:sz w:val="18"/>
          <w:szCs w:val="18"/>
          <w:lang w:val="es-MX"/>
        </w:rPr>
        <w:t>prestación de servicios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a precio fijo en los términos de los artículos 65, 66 y 67 de la Ley, la fecha tentativa de firma de contrato, el día </w:t>
      </w:r>
      <w:r w:rsidR="00EE3208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01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B23561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abril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</w:t>
      </w:r>
      <w:r w:rsidR="00D50DB3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</w:t>
      </w:r>
      <w:r w:rsidR="00993B9A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</w:p>
    <w:p w14:paraId="3DBADB56" w14:textId="191D1E96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834C7B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834C7B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834C7B">
        <w:rPr>
          <w:rFonts w:ascii="Arial" w:hAnsi="Arial" w:cs="Arial"/>
          <w:sz w:val="14"/>
          <w:szCs w:val="14"/>
        </w:rPr>
        <w:t>2.1.2</w:t>
      </w:r>
      <w:r w:rsidR="00C355AA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>, de la miscelánea fiscal para el 202</w:t>
      </w:r>
      <w:r w:rsidR="00667CB1" w:rsidRPr="00834C7B">
        <w:rPr>
          <w:rFonts w:ascii="Arial" w:hAnsi="Arial" w:cs="Arial"/>
          <w:sz w:val="14"/>
          <w:szCs w:val="14"/>
        </w:rPr>
        <w:t>4</w:t>
      </w:r>
      <w:r w:rsidR="00F352AD" w:rsidRPr="00834C7B">
        <w:rPr>
          <w:rFonts w:ascii="Arial" w:hAnsi="Arial" w:cs="Arial"/>
          <w:sz w:val="14"/>
          <w:szCs w:val="14"/>
        </w:rPr>
        <w:t xml:space="preserve"> publicada el 2</w:t>
      </w:r>
      <w:r w:rsidR="00C355AA" w:rsidRPr="00834C7B">
        <w:rPr>
          <w:rFonts w:ascii="Arial" w:hAnsi="Arial" w:cs="Arial"/>
          <w:sz w:val="14"/>
          <w:szCs w:val="14"/>
        </w:rPr>
        <w:t>9</w:t>
      </w:r>
      <w:r w:rsidR="00F352AD" w:rsidRPr="00834C7B">
        <w:rPr>
          <w:rFonts w:ascii="Arial" w:hAnsi="Arial" w:cs="Arial"/>
          <w:sz w:val="14"/>
          <w:szCs w:val="14"/>
        </w:rPr>
        <w:t xml:space="preserve"> de diciembre de 202</w:t>
      </w:r>
      <w:r w:rsidR="00C355AA" w:rsidRPr="00834C7B">
        <w:rPr>
          <w:rFonts w:ascii="Arial" w:hAnsi="Arial" w:cs="Arial"/>
          <w:sz w:val="14"/>
          <w:szCs w:val="14"/>
        </w:rPr>
        <w:t>3</w:t>
      </w:r>
      <w:r w:rsidR="00F352AD" w:rsidRPr="00834C7B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834C7B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834C7B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834C7B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834C7B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834C7B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 w:rsidRPr="00834C7B">
        <w:rPr>
          <w:rFonts w:ascii="Arial" w:hAnsi="Arial" w:cs="Arial"/>
          <w:sz w:val="14"/>
          <w:szCs w:val="14"/>
        </w:rPr>
        <w:t xml:space="preserve">Conforme al numeral </w:t>
      </w:r>
      <w:r w:rsidR="0033590C" w:rsidRPr="00834C7B">
        <w:rPr>
          <w:rFonts w:ascii="Arial" w:hAnsi="Arial" w:cs="Arial"/>
          <w:sz w:val="14"/>
          <w:szCs w:val="14"/>
        </w:rPr>
        <w:t>XV</w:t>
      </w:r>
      <w:r w:rsidR="00667CB1" w:rsidRPr="00834C7B">
        <w:rPr>
          <w:rFonts w:ascii="Arial" w:hAnsi="Arial" w:cs="Arial"/>
          <w:sz w:val="14"/>
          <w:szCs w:val="14"/>
        </w:rPr>
        <w:t>.</w:t>
      </w:r>
      <w:r w:rsidR="004D0116" w:rsidRPr="00834C7B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834C7B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834C7B">
        <w:rPr>
          <w:rFonts w:ascii="Arial" w:hAnsi="Arial" w:cs="Arial"/>
          <w:sz w:val="14"/>
          <w:szCs w:val="14"/>
        </w:rPr>
        <w:t>licitante</w:t>
      </w:r>
      <w:r w:rsidRPr="00834C7B">
        <w:rPr>
          <w:rFonts w:ascii="Arial" w:hAnsi="Arial" w:cs="Arial"/>
          <w:sz w:val="14"/>
          <w:szCs w:val="14"/>
        </w:rPr>
        <w:t xml:space="preserve"> adjudicado, fianza expedida por una institución legalmente autorizada, en los términos de la </w:t>
      </w:r>
      <w:r w:rsidR="00664153" w:rsidRPr="00834C7B">
        <w:rPr>
          <w:rFonts w:ascii="Arial" w:hAnsi="Arial" w:cs="Arial"/>
          <w:sz w:val="14"/>
          <w:szCs w:val="14"/>
        </w:rPr>
        <w:t>Ley de Instituciones de Seguros y de Fianzas,</w:t>
      </w:r>
      <w:r w:rsidRPr="00834C7B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 w:rsidRPr="00834C7B">
        <w:rPr>
          <w:rFonts w:ascii="Arial" w:hAnsi="Arial" w:cs="Arial"/>
          <w:sz w:val="14"/>
          <w:szCs w:val="14"/>
        </w:rPr>
        <w:t>subnumerales</w:t>
      </w:r>
      <w:r w:rsidRPr="00834C7B">
        <w:rPr>
          <w:rFonts w:ascii="Arial" w:hAnsi="Arial" w:cs="Arial"/>
          <w:sz w:val="14"/>
          <w:szCs w:val="14"/>
        </w:rPr>
        <w:t xml:space="preserve"> 1, 2</w:t>
      </w:r>
      <w:r w:rsidR="00DB2E33" w:rsidRPr="00834C7B">
        <w:rPr>
          <w:rFonts w:ascii="Arial" w:hAnsi="Arial" w:cs="Arial"/>
          <w:sz w:val="14"/>
          <w:szCs w:val="14"/>
        </w:rPr>
        <w:t>,</w:t>
      </w:r>
      <w:r w:rsidR="0088219E" w:rsidRPr="00834C7B">
        <w:rPr>
          <w:rFonts w:ascii="Arial" w:hAnsi="Arial" w:cs="Arial"/>
          <w:sz w:val="14"/>
          <w:szCs w:val="14"/>
        </w:rPr>
        <w:t xml:space="preserve"> 3</w:t>
      </w:r>
      <w:r w:rsidR="00667CB1" w:rsidRPr="00834C7B">
        <w:rPr>
          <w:rFonts w:ascii="Arial" w:hAnsi="Arial" w:cs="Arial"/>
          <w:sz w:val="14"/>
          <w:szCs w:val="14"/>
        </w:rPr>
        <w:t xml:space="preserve">, </w:t>
      </w:r>
      <w:r w:rsidR="0088219E" w:rsidRPr="00834C7B">
        <w:rPr>
          <w:rFonts w:ascii="Arial" w:hAnsi="Arial" w:cs="Arial"/>
          <w:sz w:val="14"/>
          <w:szCs w:val="14"/>
        </w:rPr>
        <w:t>4</w:t>
      </w:r>
      <w:r w:rsidR="00667CB1" w:rsidRPr="00834C7B">
        <w:rPr>
          <w:rFonts w:ascii="Arial" w:hAnsi="Arial" w:cs="Arial"/>
          <w:sz w:val="14"/>
          <w:szCs w:val="14"/>
        </w:rPr>
        <w:t>, 5 y 6</w:t>
      </w:r>
      <w:r w:rsidR="0088219E" w:rsidRPr="00834C7B">
        <w:rPr>
          <w:rFonts w:ascii="Arial" w:hAnsi="Arial" w:cs="Arial"/>
          <w:sz w:val="14"/>
          <w:szCs w:val="14"/>
        </w:rPr>
        <w:t xml:space="preserve"> </w:t>
      </w:r>
      <w:r w:rsidRPr="00834C7B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834C7B" w:rsidRPr="000F4AE4">
        <w:rPr>
          <w:rFonts w:ascii="Arial" w:hAnsi="Arial" w:cs="Arial"/>
          <w:color w:val="000000"/>
          <w:sz w:val="18"/>
          <w:szCs w:val="18"/>
        </w:rPr>
        <w:t xml:space="preserve"> 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834C7B">
        <w:trPr>
          <w:trHeight w:val="192"/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  <w:vAlign w:val="center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CC4D03" w:rsidRDefault="00A10F90" w:rsidP="00833E0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833E04" w:rsidRPr="00CC4D03">
              <w:rPr>
                <w:rFonts w:ascii="Arial" w:hAnsi="Arial" w:cs="Arial"/>
                <w:b/>
                <w:sz w:val="18"/>
                <w:szCs w:val="18"/>
              </w:rPr>
              <w:t xml:space="preserve">. Jorge </w:t>
            </w:r>
            <w:r w:rsidR="00974264">
              <w:rPr>
                <w:rFonts w:ascii="Arial" w:hAnsi="Arial" w:cs="Arial"/>
                <w:b/>
                <w:sz w:val="18"/>
                <w:szCs w:val="18"/>
              </w:rPr>
              <w:t>Silva Robles</w:t>
            </w:r>
          </w:p>
          <w:p w14:paraId="05ED328F" w14:textId="77777777" w:rsidR="00833E04" w:rsidRDefault="00974264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4264">
              <w:rPr>
                <w:rFonts w:ascii="Arial" w:hAnsi="Arial" w:cs="Arial"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CC4D03" w:rsidRDefault="00A10F90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C14816"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3D18CADD" w14:textId="3A43B19F" w:rsidR="008A0BF4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AAA5648" w14:textId="1A836079" w:rsidR="00974264" w:rsidRPr="00A47DD1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47DD1">
              <w:rPr>
                <w:rFonts w:ascii="Arial" w:hAnsi="Arial" w:cs="Arial"/>
                <w:b/>
                <w:sz w:val="18"/>
                <w:szCs w:val="18"/>
                <w:lang w:val="es-ES"/>
              </w:rPr>
              <w:t>C. Ana Francisca Contreras Mejía</w:t>
            </w:r>
          </w:p>
          <w:p w14:paraId="73BCEFB4" w14:textId="77777777" w:rsidR="00974264" w:rsidRPr="00A47DD1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47DD1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251628A7" w:rsidR="008A0BF4" w:rsidRPr="00CC4D03" w:rsidRDefault="008A0BF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97B2E6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16C580" w14:textId="77777777" w:rsidR="008A0BF4" w:rsidRDefault="008A0BF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73F96A" w14:textId="283C51B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María Díaz Rodríguez</w:t>
            </w:r>
          </w:p>
          <w:p w14:paraId="3CF91F18" w14:textId="1BC0FCC4" w:rsidR="00310EE2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C42FCC">
              <w:rPr>
                <w:rFonts w:ascii="Arial" w:hAnsi="Arial" w:cs="Arial"/>
                <w:b/>
                <w:sz w:val="18"/>
                <w:szCs w:val="18"/>
                <w:lang w:val="es-ES"/>
              </w:rPr>
              <w:t>C. Roberto Bernal Castañón</w:t>
            </w:r>
          </w:p>
          <w:p w14:paraId="58917B59" w14:textId="77777777" w:rsidR="00974264" w:rsidRPr="00C42FCC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42FCC">
              <w:rPr>
                <w:rFonts w:ascii="Arial" w:hAnsi="Arial" w:cs="Arial"/>
                <w:sz w:val="18"/>
                <w:szCs w:val="18"/>
              </w:rPr>
              <w:t xml:space="preserve">Representante de la Dir. General de Planeación y Desarrollo </w:t>
            </w:r>
          </w:p>
          <w:p w14:paraId="2D33AA2E" w14:textId="0260D9D5" w:rsidR="00A47DD1" w:rsidRPr="00C42FCC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C3A7E" w:rsidRPr="00CC4D03" w14:paraId="019B8AE0" w14:textId="77777777" w:rsidTr="00AE3929">
        <w:trPr>
          <w:jc w:val="center"/>
        </w:trPr>
        <w:tc>
          <w:tcPr>
            <w:tcW w:w="4414" w:type="dxa"/>
          </w:tcPr>
          <w:p w14:paraId="556B0FF2" w14:textId="77777777" w:rsidR="00AC3A7E" w:rsidRPr="00C42FCC" w:rsidRDefault="00AC3A7E" w:rsidP="00AC3A7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74FA2AA" w14:textId="78E132EF" w:rsidR="00AC3A7E" w:rsidRPr="00C42FCC" w:rsidRDefault="00AC3A7E" w:rsidP="00AC3A7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2FCC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C42FCC" w:rsidRPr="00C42FCC">
              <w:rPr>
                <w:rFonts w:ascii="Arial" w:hAnsi="Arial" w:cs="Arial"/>
                <w:b/>
                <w:sz w:val="18"/>
                <w:szCs w:val="18"/>
              </w:rPr>
              <w:t>Luis Enrique Cortés Calvillo</w:t>
            </w:r>
            <w:r w:rsidRPr="00C42FC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5200EE1" w14:textId="1DC36BFF" w:rsidR="00AC3A7E" w:rsidRPr="00C42FCC" w:rsidRDefault="00AC3A7E" w:rsidP="00AC3A7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>Departamento de Redes y Telecomunicaciones de la DGPyD (Área requirente)</w:t>
            </w:r>
          </w:p>
          <w:p w14:paraId="76B3CDD2" w14:textId="424A6374" w:rsidR="00AC3A7E" w:rsidRPr="00C42FCC" w:rsidRDefault="00AC3A7E" w:rsidP="00AC3A7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323B7D5" w14:textId="77777777" w:rsidR="00AC3A7E" w:rsidRPr="00074670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503474" w14:textId="77777777" w:rsidR="00AC3A7E" w:rsidRPr="00074670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92A53" w14:textId="77777777" w:rsidR="00AC3A7E" w:rsidRPr="00074670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A3EBD8" w14:textId="70D96001" w:rsidR="00AC3A7E" w:rsidRPr="00AC3A7E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42FCC" w:rsidRPr="00CC4D03" w14:paraId="3059B9BF" w14:textId="77777777" w:rsidTr="00D0618F">
        <w:trPr>
          <w:jc w:val="center"/>
        </w:trPr>
        <w:tc>
          <w:tcPr>
            <w:tcW w:w="4414" w:type="dxa"/>
          </w:tcPr>
          <w:p w14:paraId="73B7A6A5" w14:textId="77777777" w:rsidR="00C42FCC" w:rsidRPr="00C42FCC" w:rsidRDefault="00C42FCC" w:rsidP="00D0618F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780FA5B" w14:textId="1B13D59B" w:rsidR="00C42FCC" w:rsidRPr="00C42FCC" w:rsidRDefault="00C42FCC" w:rsidP="00D0618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2FCC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Pr="00C42FCC">
              <w:rPr>
                <w:rFonts w:ascii="Arial" w:hAnsi="Arial" w:cs="Arial"/>
                <w:b/>
                <w:sz w:val="18"/>
                <w:szCs w:val="18"/>
              </w:rPr>
              <w:t>Diego Perales Salas</w:t>
            </w:r>
          </w:p>
          <w:p w14:paraId="5A115CFC" w14:textId="62F64BB6" w:rsidR="00C42FCC" w:rsidRPr="00C42FCC" w:rsidRDefault="00C42FCC" w:rsidP="00D0618F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 xml:space="preserve">Departamento de Redes y Telecomunicaciones de la </w:t>
            </w:r>
            <w:proofErr w:type="spellStart"/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>DGPyD</w:t>
            </w:r>
            <w:proofErr w:type="spellEnd"/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 xml:space="preserve"> (Área requirente)</w:t>
            </w:r>
          </w:p>
          <w:p w14:paraId="672906E9" w14:textId="77777777" w:rsidR="00C42FCC" w:rsidRPr="00C42FCC" w:rsidRDefault="00C42FCC" w:rsidP="00D0618F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2BFB10E8" w14:textId="77777777" w:rsidR="00C42FCC" w:rsidRPr="00074670" w:rsidRDefault="00C42FCC" w:rsidP="00D0618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C45C36" w14:textId="77777777" w:rsidR="00C42FCC" w:rsidRPr="00074670" w:rsidRDefault="00C42FCC" w:rsidP="00D0618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D126BD7" w14:textId="77777777" w:rsidR="00C42FCC" w:rsidRPr="00074670" w:rsidRDefault="00C42FCC" w:rsidP="00D0618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C00A59" w14:textId="77777777" w:rsidR="00C42FCC" w:rsidRPr="00AC3A7E" w:rsidRDefault="00C42FCC" w:rsidP="00D0618F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236D89" w:rsidRPr="00CC4D03" w14:paraId="49174C21" w14:textId="77777777" w:rsidTr="00AE3929">
        <w:trPr>
          <w:jc w:val="center"/>
        </w:trPr>
        <w:tc>
          <w:tcPr>
            <w:tcW w:w="4414" w:type="dxa"/>
          </w:tcPr>
          <w:p w14:paraId="46A6E9D3" w14:textId="77777777" w:rsidR="00236D89" w:rsidRPr="00C42FCC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C650B96" w14:textId="463A75DB" w:rsidR="00236D89" w:rsidRPr="00C42FCC" w:rsidRDefault="00236D89" w:rsidP="00236D8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2FCC">
              <w:rPr>
                <w:rFonts w:ascii="Arial" w:hAnsi="Arial" w:cs="Arial"/>
                <w:b/>
                <w:sz w:val="18"/>
                <w:szCs w:val="18"/>
              </w:rPr>
              <w:t xml:space="preserve">C. </w:t>
            </w:r>
            <w:r w:rsidR="001D6495" w:rsidRPr="001D6495">
              <w:rPr>
                <w:rFonts w:ascii="Arial" w:hAnsi="Arial" w:cs="Arial"/>
                <w:b/>
                <w:sz w:val="18"/>
                <w:szCs w:val="18"/>
              </w:rPr>
              <w:t>José Antonio Pérez Hernández</w:t>
            </w:r>
          </w:p>
          <w:p w14:paraId="1B7A3B5B" w14:textId="77777777" w:rsidR="00236D89" w:rsidRPr="00C42FCC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 xml:space="preserve">Departamento de Redes y Telecomunicaciones de la </w:t>
            </w:r>
            <w:proofErr w:type="spellStart"/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>DGPyD</w:t>
            </w:r>
            <w:proofErr w:type="spellEnd"/>
            <w:r w:rsidRPr="00C42FCC">
              <w:rPr>
                <w:rFonts w:ascii="Arial" w:hAnsi="Arial" w:cs="Arial"/>
                <w:sz w:val="18"/>
                <w:szCs w:val="18"/>
                <w:lang w:val="es-ES"/>
              </w:rPr>
              <w:t xml:space="preserve"> (Área requirente)</w:t>
            </w:r>
          </w:p>
          <w:p w14:paraId="0591ABB1" w14:textId="77777777" w:rsidR="00236D89" w:rsidRPr="00074670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B43DEF0" w14:textId="77777777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CC5E9A" w14:textId="77777777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56035F" w14:textId="77777777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744F69" w14:textId="0ACC5404" w:rsidR="00236D89" w:rsidRPr="00074670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236D89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C16E38" w14:textId="55C11AC1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Arnoldo Rodríguez Romo </w:t>
            </w:r>
          </w:p>
          <w:p w14:paraId="2A84B101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236D89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236D89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236D89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0343">
              <w:rPr>
                <w:rFonts w:ascii="Arial" w:hAnsi="Arial" w:cs="Arial"/>
                <w:b/>
                <w:sz w:val="18"/>
                <w:szCs w:val="18"/>
                <w:lang w:val="es-ES"/>
              </w:rPr>
              <w:t>C. Lisly Paola Jiménez de Alba</w:t>
            </w:r>
          </w:p>
          <w:p w14:paraId="1C306920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236D89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236D89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236D89" w:rsidRPr="00CC4D03" w14:paraId="710BF5CC" w14:textId="77777777" w:rsidTr="00AE3929">
        <w:trPr>
          <w:jc w:val="center"/>
        </w:trPr>
        <w:tc>
          <w:tcPr>
            <w:tcW w:w="4414" w:type="dxa"/>
          </w:tcPr>
          <w:p w14:paraId="1145676A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  <w:p w14:paraId="68E7D593" w14:textId="47929BAA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Berenice Ceballos Guzmán </w:t>
            </w:r>
          </w:p>
          <w:p w14:paraId="3330EA16" w14:textId="77777777" w:rsidR="00236D89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62DE20A7" w14:textId="780D598A" w:rsidR="00236D89" w:rsidRPr="00CB3C03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A89B99" w14:textId="0D630AFC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A926E3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662E53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236D89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4A20E60" w14:textId="17DFFA55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Gabriela del Socorro Muñoz Vera</w:t>
            </w:r>
          </w:p>
          <w:p w14:paraId="20EC5F66" w14:textId="77777777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236D89" w:rsidRPr="00CC4D03" w:rsidRDefault="00236D89" w:rsidP="00236D89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0CB20C" w14:textId="77777777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E175418" w:rsidR="00236D89" w:rsidRPr="00CC4D03" w:rsidRDefault="00236D89" w:rsidP="00236D89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113CCFCE" w14:textId="02014031" w:rsidR="00C14816" w:rsidRPr="00054E42" w:rsidRDefault="00236D89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 xml:space="preserve">Sin presencia de Licitantes. </w:t>
      </w:r>
      <w:r w:rsidR="00C14816"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</w:t>
      </w:r>
    </w:p>
    <w:p w14:paraId="5469811B" w14:textId="58762112" w:rsidR="00B0223D" w:rsidRDefault="00B0223D" w:rsidP="000C270F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hace </w:t>
      </w:r>
      <w:r w:rsidRPr="00C740AC">
        <w:rPr>
          <w:rFonts w:ascii="Arial" w:hAnsi="Arial" w:cs="Arial"/>
          <w:sz w:val="18"/>
          <w:szCs w:val="18"/>
        </w:rPr>
        <w:t xml:space="preserve">saber que la presente acta de </w:t>
      </w:r>
      <w:r w:rsidR="00C442EB" w:rsidRPr="00C740AC">
        <w:rPr>
          <w:rFonts w:ascii="Arial" w:hAnsi="Arial" w:cs="Arial"/>
          <w:sz w:val="18"/>
          <w:szCs w:val="18"/>
        </w:rPr>
        <w:t xml:space="preserve">notificación de fallo consta de </w:t>
      </w:r>
      <w:r w:rsidR="00EE3208" w:rsidRPr="00C740AC">
        <w:rPr>
          <w:rFonts w:ascii="Arial" w:hAnsi="Arial" w:cs="Arial"/>
          <w:b/>
          <w:sz w:val="18"/>
          <w:szCs w:val="18"/>
        </w:rPr>
        <w:t>5</w:t>
      </w:r>
      <w:r w:rsidRPr="00C740AC">
        <w:rPr>
          <w:rFonts w:ascii="Arial" w:hAnsi="Arial" w:cs="Arial"/>
          <w:b/>
          <w:sz w:val="18"/>
          <w:szCs w:val="18"/>
        </w:rPr>
        <w:t xml:space="preserve"> páginas</w:t>
      </w:r>
      <w:r w:rsidRPr="00C740AC">
        <w:rPr>
          <w:rFonts w:ascii="Arial" w:hAnsi="Arial" w:cs="Arial"/>
          <w:sz w:val="18"/>
          <w:szCs w:val="18"/>
        </w:rPr>
        <w:t>; el Dictamen Técnico, Anexo “</w:t>
      </w:r>
      <w:r w:rsidR="00D62713" w:rsidRPr="00C740AC">
        <w:rPr>
          <w:rFonts w:ascii="Arial" w:hAnsi="Arial" w:cs="Arial"/>
          <w:sz w:val="18"/>
          <w:szCs w:val="18"/>
        </w:rPr>
        <w:t>1</w:t>
      </w:r>
      <w:r w:rsidRPr="00C740AC">
        <w:rPr>
          <w:rFonts w:ascii="Arial" w:hAnsi="Arial" w:cs="Arial"/>
          <w:sz w:val="18"/>
          <w:szCs w:val="18"/>
        </w:rPr>
        <w:t xml:space="preserve">” consta de </w:t>
      </w:r>
      <w:r w:rsidR="00C740AC" w:rsidRPr="00C740AC">
        <w:rPr>
          <w:rFonts w:ascii="Arial" w:hAnsi="Arial" w:cs="Arial"/>
          <w:b/>
          <w:sz w:val="18"/>
          <w:szCs w:val="18"/>
        </w:rPr>
        <w:t>5</w:t>
      </w:r>
      <w:r w:rsidRPr="00C740AC">
        <w:rPr>
          <w:rFonts w:ascii="Arial" w:hAnsi="Arial" w:cs="Arial"/>
          <w:b/>
          <w:sz w:val="18"/>
          <w:szCs w:val="18"/>
        </w:rPr>
        <w:t xml:space="preserve"> páginas</w:t>
      </w:r>
      <w:r w:rsidRPr="00C740AC">
        <w:rPr>
          <w:rFonts w:ascii="Arial" w:hAnsi="Arial" w:cs="Arial"/>
          <w:sz w:val="18"/>
          <w:szCs w:val="18"/>
        </w:rPr>
        <w:t xml:space="preserve">, y el </w:t>
      </w:r>
      <w:r w:rsidR="00371B68" w:rsidRPr="00C740AC">
        <w:rPr>
          <w:rFonts w:ascii="Arial" w:hAnsi="Arial" w:cs="Arial"/>
          <w:sz w:val="18"/>
          <w:szCs w:val="18"/>
        </w:rPr>
        <w:t>Análisis</w:t>
      </w:r>
      <w:r w:rsidRPr="00C740AC">
        <w:rPr>
          <w:rFonts w:ascii="Arial" w:hAnsi="Arial" w:cs="Arial"/>
          <w:sz w:val="18"/>
          <w:szCs w:val="18"/>
        </w:rPr>
        <w:t xml:space="preserve"> administrativo </w:t>
      </w:r>
      <w:r w:rsidR="00D62713" w:rsidRPr="00C740AC">
        <w:rPr>
          <w:rFonts w:ascii="Arial" w:hAnsi="Arial" w:cs="Arial"/>
          <w:sz w:val="18"/>
          <w:szCs w:val="18"/>
        </w:rPr>
        <w:t xml:space="preserve">Anexo “2” </w:t>
      </w:r>
      <w:r w:rsidRPr="00C740AC">
        <w:rPr>
          <w:rFonts w:ascii="Arial" w:hAnsi="Arial" w:cs="Arial"/>
          <w:sz w:val="18"/>
          <w:szCs w:val="18"/>
        </w:rPr>
        <w:t xml:space="preserve">consta en </w:t>
      </w:r>
      <w:r w:rsidR="00310EE2" w:rsidRPr="00C740AC">
        <w:rPr>
          <w:rFonts w:ascii="Arial" w:hAnsi="Arial" w:cs="Arial"/>
          <w:b/>
          <w:sz w:val="18"/>
          <w:szCs w:val="18"/>
        </w:rPr>
        <w:t>5</w:t>
      </w:r>
      <w:r w:rsidRPr="00C740AC">
        <w:rPr>
          <w:rFonts w:ascii="Arial" w:hAnsi="Arial" w:cs="Arial"/>
          <w:b/>
          <w:sz w:val="18"/>
          <w:szCs w:val="18"/>
        </w:rPr>
        <w:t xml:space="preserve"> páginas</w:t>
      </w:r>
      <w:r w:rsidRPr="00C740AC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</w:t>
      </w:r>
      <w:r w:rsidR="001D6495">
        <w:rPr>
          <w:rFonts w:ascii="Arial" w:hAnsi="Arial" w:cs="Arial"/>
          <w:sz w:val="18"/>
          <w:szCs w:val="18"/>
        </w:rPr>
        <w:t>--</w:t>
      </w:r>
      <w:r w:rsidRPr="00C740AC">
        <w:rPr>
          <w:rFonts w:ascii="Arial" w:hAnsi="Arial" w:cs="Arial"/>
          <w:sz w:val="18"/>
          <w:szCs w:val="18"/>
        </w:rPr>
        <w:t>---------------------------------</w:t>
      </w:r>
      <w:r w:rsidR="00371B68" w:rsidRPr="00C740AC">
        <w:rPr>
          <w:rFonts w:ascii="Arial" w:hAnsi="Arial" w:cs="Arial"/>
          <w:sz w:val="18"/>
          <w:szCs w:val="18"/>
        </w:rPr>
        <w:t>---------------</w:t>
      </w:r>
    </w:p>
    <w:p w14:paraId="51953D94" w14:textId="0BFEB960" w:rsidR="001E0896" w:rsidRPr="00C14816" w:rsidRDefault="001E0896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 xml:space="preserve">Siendo </w:t>
      </w:r>
      <w:r w:rsidRPr="00BF2B37">
        <w:rPr>
          <w:rFonts w:ascii="Arial" w:hAnsi="Arial" w:cs="Arial"/>
          <w:sz w:val="18"/>
          <w:szCs w:val="18"/>
        </w:rPr>
        <w:t xml:space="preserve">las </w:t>
      </w:r>
      <w:r w:rsidR="00FE1EB0" w:rsidRPr="001D6495">
        <w:rPr>
          <w:rFonts w:ascii="Arial" w:hAnsi="Arial" w:cs="Arial"/>
          <w:b/>
          <w:sz w:val="18"/>
          <w:szCs w:val="18"/>
        </w:rPr>
        <w:t>1</w:t>
      </w:r>
      <w:r w:rsidR="00C14816" w:rsidRPr="001D6495">
        <w:rPr>
          <w:rFonts w:ascii="Arial" w:hAnsi="Arial" w:cs="Arial"/>
          <w:b/>
          <w:sz w:val="18"/>
          <w:szCs w:val="18"/>
        </w:rPr>
        <w:t>4</w:t>
      </w:r>
      <w:r w:rsidRPr="001D6495">
        <w:rPr>
          <w:rFonts w:ascii="Arial" w:hAnsi="Arial" w:cs="Arial"/>
          <w:b/>
          <w:sz w:val="18"/>
          <w:szCs w:val="18"/>
        </w:rPr>
        <w:t>:</w:t>
      </w:r>
      <w:r w:rsidR="00563D1C" w:rsidRPr="001D6495">
        <w:rPr>
          <w:rFonts w:ascii="Arial" w:hAnsi="Arial" w:cs="Arial"/>
          <w:b/>
          <w:sz w:val="18"/>
          <w:szCs w:val="18"/>
        </w:rPr>
        <w:t>1</w:t>
      </w:r>
      <w:r w:rsidR="001D6495" w:rsidRPr="001D6495">
        <w:rPr>
          <w:rFonts w:ascii="Arial" w:hAnsi="Arial" w:cs="Arial"/>
          <w:b/>
          <w:sz w:val="18"/>
          <w:szCs w:val="18"/>
        </w:rPr>
        <w:t>2</w:t>
      </w:r>
      <w:r w:rsidRPr="001D6495">
        <w:rPr>
          <w:rFonts w:ascii="Arial" w:hAnsi="Arial" w:cs="Arial"/>
          <w:sz w:val="18"/>
          <w:szCs w:val="18"/>
        </w:rPr>
        <w:t xml:space="preserve"> horas del día de su inicio, se da por concluida la presente junta firmando el acta los que en ella intervienen para los</w:t>
      </w:r>
      <w:r w:rsidRPr="00342CC6">
        <w:rPr>
          <w:rFonts w:ascii="Arial" w:hAnsi="Arial" w:cs="Arial"/>
          <w:sz w:val="18"/>
          <w:szCs w:val="18"/>
        </w:rPr>
        <w:t xml:space="preserve">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</w:t>
      </w:r>
      <w:bookmarkStart w:id="0" w:name="_GoBack"/>
      <w:bookmarkEnd w:id="0"/>
      <w:r w:rsidRPr="00342CC6">
        <w:rPr>
          <w:rFonts w:ascii="Arial" w:hAnsi="Arial" w:cs="Arial"/>
          <w:sz w:val="18"/>
          <w:szCs w:val="18"/>
        </w:rPr>
        <w:t>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AB0430" w:rsidRDefault="00AB0430" w:rsidP="004F08CF">
      <w:r>
        <w:separator/>
      </w:r>
    </w:p>
  </w:endnote>
  <w:endnote w:type="continuationSeparator" w:id="0">
    <w:p w14:paraId="21786255" w14:textId="77777777" w:rsidR="00AB0430" w:rsidRDefault="00AB0430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5471C518" w:rsidR="00AB0430" w:rsidRPr="003B7915" w:rsidRDefault="00AB0430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B84669">
      <w:rPr>
        <w:rFonts w:ascii="Tahoma" w:hAnsi="Tahoma" w:cs="Tahoma"/>
        <w:snapToGrid w:val="0"/>
        <w:sz w:val="12"/>
        <w:szCs w:val="12"/>
      </w:rPr>
      <w:t>010</w:t>
    </w:r>
    <w:r w:rsidR="00A10F90">
      <w:rPr>
        <w:rFonts w:ascii="Tahoma" w:hAnsi="Tahoma" w:cs="Tahoma"/>
        <w:snapToGrid w:val="0"/>
        <w:sz w:val="12"/>
        <w:szCs w:val="12"/>
      </w:rPr>
      <w:t>-2024</w:t>
    </w:r>
  </w:p>
  <w:p w14:paraId="300C9066" w14:textId="431E5C58" w:rsidR="00AB0430" w:rsidRPr="003B7915" w:rsidRDefault="00AB0430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740AC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C740AC">
      <w:rPr>
        <w:rFonts w:ascii="Tahoma" w:hAnsi="Tahoma" w:cs="Tahoma"/>
        <w:noProof/>
        <w:snapToGrid w:val="0"/>
        <w:sz w:val="12"/>
        <w:szCs w:val="12"/>
      </w:rPr>
      <w:t>5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B0430" w:rsidRPr="003B7915" w:rsidRDefault="00AB0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AB0430" w:rsidRDefault="00AB0430" w:rsidP="004F08CF">
      <w:r>
        <w:separator/>
      </w:r>
    </w:p>
  </w:footnote>
  <w:footnote w:type="continuationSeparator" w:id="0">
    <w:p w14:paraId="5954C623" w14:textId="77777777" w:rsidR="00AB0430" w:rsidRDefault="00AB0430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AB0430" w:rsidRPr="00400A61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B0430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B0430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B0430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AB0430" w:rsidRPr="003B7915" w:rsidRDefault="00AB0430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AB0430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AB0430" w:rsidRPr="003B7915" w:rsidRDefault="00AB0430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AB0430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4AED472B" w:rsidR="00AB0430" w:rsidRPr="008801F1" w:rsidRDefault="00AB0430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B84669">
            <w:rPr>
              <w:rFonts w:ascii="Arial" w:hAnsi="Arial" w:cs="Arial"/>
              <w:b/>
              <w:sz w:val="18"/>
              <w:szCs w:val="18"/>
            </w:rPr>
            <w:t>10</w:t>
          </w:r>
          <w:r w:rsidR="00A10F90">
            <w:rPr>
              <w:rFonts w:ascii="Arial" w:hAnsi="Arial" w:cs="Arial"/>
              <w:b/>
              <w:sz w:val="18"/>
              <w:szCs w:val="18"/>
            </w:rPr>
            <w:t>-2024</w:t>
          </w:r>
        </w:p>
      </w:tc>
    </w:tr>
    <w:tr w:rsidR="00AB0430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6E9E2C07" w:rsidR="00AB0430" w:rsidRPr="00A51C50" w:rsidRDefault="00B84669" w:rsidP="00B8466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B84669">
            <w:rPr>
              <w:rFonts w:ascii="Arial" w:hAnsi="Arial" w:cs="Arial"/>
              <w:b/>
              <w:sz w:val="18"/>
              <w:szCs w:val="18"/>
            </w:rPr>
            <w:t xml:space="preserve">SERVICIO DE LICENCIAMIENTO MICROSOFT DEPTO. DE REDES Y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TELECOMUNICACIONES DE LA DGPyD </w:t>
          </w:r>
          <w:r w:rsidRPr="00B84669">
            <w:rPr>
              <w:rFonts w:ascii="Arial" w:hAnsi="Arial" w:cs="Arial"/>
              <w:b/>
              <w:sz w:val="18"/>
              <w:szCs w:val="18"/>
            </w:rPr>
            <w:t>DE LA UNIVERSIDAD AUTÓNOMA DE AGUASCALIENTES</w:t>
          </w:r>
          <w:r w:rsidR="0052521B" w:rsidRPr="0052521B">
            <w:rPr>
              <w:rFonts w:ascii="Arial" w:hAnsi="Arial" w:cs="Arial"/>
              <w:b/>
              <w:sz w:val="18"/>
              <w:szCs w:val="18"/>
            </w:rPr>
            <w:t>.</w:t>
          </w:r>
        </w:p>
      </w:tc>
    </w:tr>
  </w:tbl>
  <w:p w14:paraId="258F9155" w14:textId="77777777" w:rsidR="00AB0430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2002B"/>
    <w:rsid w:val="00120C0A"/>
    <w:rsid w:val="00122147"/>
    <w:rsid w:val="001238CC"/>
    <w:rsid w:val="001245D2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6562"/>
    <w:rsid w:val="001A35FA"/>
    <w:rsid w:val="001A3C30"/>
    <w:rsid w:val="001A49E0"/>
    <w:rsid w:val="001A5074"/>
    <w:rsid w:val="001A5687"/>
    <w:rsid w:val="001A61DB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495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36D89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3AFD"/>
    <w:rsid w:val="00253BA5"/>
    <w:rsid w:val="00256FB0"/>
    <w:rsid w:val="002572C3"/>
    <w:rsid w:val="002573EC"/>
    <w:rsid w:val="0026149E"/>
    <w:rsid w:val="002665F7"/>
    <w:rsid w:val="0026691B"/>
    <w:rsid w:val="00267219"/>
    <w:rsid w:val="0026770B"/>
    <w:rsid w:val="00271455"/>
    <w:rsid w:val="002719E1"/>
    <w:rsid w:val="00271E62"/>
    <w:rsid w:val="00272276"/>
    <w:rsid w:val="002742B2"/>
    <w:rsid w:val="0027471F"/>
    <w:rsid w:val="00276384"/>
    <w:rsid w:val="0027699A"/>
    <w:rsid w:val="00276F21"/>
    <w:rsid w:val="00277E59"/>
    <w:rsid w:val="00281FDE"/>
    <w:rsid w:val="002820DC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FC7"/>
    <w:rsid w:val="002A5ABE"/>
    <w:rsid w:val="002A5E77"/>
    <w:rsid w:val="002A6477"/>
    <w:rsid w:val="002A66EB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54F"/>
    <w:rsid w:val="003039F6"/>
    <w:rsid w:val="00305105"/>
    <w:rsid w:val="0030524E"/>
    <w:rsid w:val="00305EDA"/>
    <w:rsid w:val="00307224"/>
    <w:rsid w:val="00310EE2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590C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50A7A"/>
    <w:rsid w:val="0035231C"/>
    <w:rsid w:val="00354E81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484"/>
    <w:rsid w:val="0038481B"/>
    <w:rsid w:val="00386599"/>
    <w:rsid w:val="00386A4A"/>
    <w:rsid w:val="00390604"/>
    <w:rsid w:val="00391126"/>
    <w:rsid w:val="003913A3"/>
    <w:rsid w:val="0039289B"/>
    <w:rsid w:val="00395409"/>
    <w:rsid w:val="00395706"/>
    <w:rsid w:val="003A0BE8"/>
    <w:rsid w:val="003A34A7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256B"/>
    <w:rsid w:val="003C6062"/>
    <w:rsid w:val="003C7DFD"/>
    <w:rsid w:val="003D001D"/>
    <w:rsid w:val="003D1165"/>
    <w:rsid w:val="003D2736"/>
    <w:rsid w:val="003D4649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788A"/>
    <w:rsid w:val="003F291F"/>
    <w:rsid w:val="003F35B0"/>
    <w:rsid w:val="003F464D"/>
    <w:rsid w:val="003F5604"/>
    <w:rsid w:val="003F7138"/>
    <w:rsid w:val="0040040E"/>
    <w:rsid w:val="00400A61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47BA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4D01"/>
    <w:rsid w:val="004D63D1"/>
    <w:rsid w:val="004E00E4"/>
    <w:rsid w:val="004E086A"/>
    <w:rsid w:val="004E17FC"/>
    <w:rsid w:val="004E2845"/>
    <w:rsid w:val="004E3752"/>
    <w:rsid w:val="004E5638"/>
    <w:rsid w:val="004E5A42"/>
    <w:rsid w:val="004E6611"/>
    <w:rsid w:val="004F06D7"/>
    <w:rsid w:val="004F08CF"/>
    <w:rsid w:val="004F117F"/>
    <w:rsid w:val="004F3CF0"/>
    <w:rsid w:val="004F6529"/>
    <w:rsid w:val="004F7632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7C81"/>
    <w:rsid w:val="0059012D"/>
    <w:rsid w:val="005905F3"/>
    <w:rsid w:val="0059083B"/>
    <w:rsid w:val="00591DCB"/>
    <w:rsid w:val="00592067"/>
    <w:rsid w:val="0059321F"/>
    <w:rsid w:val="00595C42"/>
    <w:rsid w:val="00596BB1"/>
    <w:rsid w:val="00597802"/>
    <w:rsid w:val="005A1DEE"/>
    <w:rsid w:val="005A25FB"/>
    <w:rsid w:val="005A2653"/>
    <w:rsid w:val="005A3607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7C45"/>
    <w:rsid w:val="005D7D2B"/>
    <w:rsid w:val="005E1C84"/>
    <w:rsid w:val="005E24BB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F10"/>
    <w:rsid w:val="005F4B51"/>
    <w:rsid w:val="005F4C78"/>
    <w:rsid w:val="005F5152"/>
    <w:rsid w:val="005F5736"/>
    <w:rsid w:val="005F5F34"/>
    <w:rsid w:val="005F6E1D"/>
    <w:rsid w:val="005F7DF7"/>
    <w:rsid w:val="00601069"/>
    <w:rsid w:val="00601902"/>
    <w:rsid w:val="00602DB9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F6B"/>
    <w:rsid w:val="006B6CE2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694A"/>
    <w:rsid w:val="00706CFB"/>
    <w:rsid w:val="00712376"/>
    <w:rsid w:val="00712C05"/>
    <w:rsid w:val="00714259"/>
    <w:rsid w:val="0071792F"/>
    <w:rsid w:val="00717A7E"/>
    <w:rsid w:val="00722470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2080"/>
    <w:rsid w:val="007627EE"/>
    <w:rsid w:val="00764CB5"/>
    <w:rsid w:val="00764D8F"/>
    <w:rsid w:val="007656D8"/>
    <w:rsid w:val="00766E4A"/>
    <w:rsid w:val="00767A05"/>
    <w:rsid w:val="007706C0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10AE"/>
    <w:rsid w:val="00791ADB"/>
    <w:rsid w:val="00794406"/>
    <w:rsid w:val="00794FC5"/>
    <w:rsid w:val="007962ED"/>
    <w:rsid w:val="00796BE6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F55"/>
    <w:rsid w:val="007E61FC"/>
    <w:rsid w:val="007E683F"/>
    <w:rsid w:val="007F2402"/>
    <w:rsid w:val="007F2BCC"/>
    <w:rsid w:val="007F4A86"/>
    <w:rsid w:val="007F4CC9"/>
    <w:rsid w:val="007F5E07"/>
    <w:rsid w:val="007F5E08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34C7B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0BF4"/>
    <w:rsid w:val="008A1466"/>
    <w:rsid w:val="008A271D"/>
    <w:rsid w:val="008A2EC7"/>
    <w:rsid w:val="008A4FA1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2C6F"/>
    <w:rsid w:val="008E5AC1"/>
    <w:rsid w:val="008F18E1"/>
    <w:rsid w:val="008F3365"/>
    <w:rsid w:val="008F3608"/>
    <w:rsid w:val="008F4088"/>
    <w:rsid w:val="008F4542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631B"/>
    <w:rsid w:val="00936789"/>
    <w:rsid w:val="00937557"/>
    <w:rsid w:val="00940207"/>
    <w:rsid w:val="009404F3"/>
    <w:rsid w:val="0094127D"/>
    <w:rsid w:val="00942B05"/>
    <w:rsid w:val="00943AB4"/>
    <w:rsid w:val="00943C17"/>
    <w:rsid w:val="00943DBC"/>
    <w:rsid w:val="00945DA9"/>
    <w:rsid w:val="009465BB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ACD"/>
    <w:rsid w:val="009F5089"/>
    <w:rsid w:val="009F5D7A"/>
    <w:rsid w:val="009F7882"/>
    <w:rsid w:val="00A020A0"/>
    <w:rsid w:val="00A022F3"/>
    <w:rsid w:val="00A02A40"/>
    <w:rsid w:val="00A051F0"/>
    <w:rsid w:val="00A066B5"/>
    <w:rsid w:val="00A07A76"/>
    <w:rsid w:val="00A10F90"/>
    <w:rsid w:val="00A11F4B"/>
    <w:rsid w:val="00A125E8"/>
    <w:rsid w:val="00A14D23"/>
    <w:rsid w:val="00A15209"/>
    <w:rsid w:val="00A20343"/>
    <w:rsid w:val="00A210AC"/>
    <w:rsid w:val="00A2131C"/>
    <w:rsid w:val="00A227EB"/>
    <w:rsid w:val="00A2365F"/>
    <w:rsid w:val="00A23898"/>
    <w:rsid w:val="00A2514D"/>
    <w:rsid w:val="00A25DD0"/>
    <w:rsid w:val="00A264C2"/>
    <w:rsid w:val="00A272DD"/>
    <w:rsid w:val="00A31430"/>
    <w:rsid w:val="00A31934"/>
    <w:rsid w:val="00A31B0E"/>
    <w:rsid w:val="00A32E08"/>
    <w:rsid w:val="00A342D1"/>
    <w:rsid w:val="00A3675E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722A"/>
    <w:rsid w:val="00A601D7"/>
    <w:rsid w:val="00A60E20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41DF"/>
    <w:rsid w:val="00A8582E"/>
    <w:rsid w:val="00A85E81"/>
    <w:rsid w:val="00A86DC6"/>
    <w:rsid w:val="00A90134"/>
    <w:rsid w:val="00A9020C"/>
    <w:rsid w:val="00A9096A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4AD"/>
    <w:rsid w:val="00B04FBE"/>
    <w:rsid w:val="00B061E0"/>
    <w:rsid w:val="00B13A08"/>
    <w:rsid w:val="00B154CA"/>
    <w:rsid w:val="00B16159"/>
    <w:rsid w:val="00B166C8"/>
    <w:rsid w:val="00B204E9"/>
    <w:rsid w:val="00B2085C"/>
    <w:rsid w:val="00B234B0"/>
    <w:rsid w:val="00B23561"/>
    <w:rsid w:val="00B238A3"/>
    <w:rsid w:val="00B25C07"/>
    <w:rsid w:val="00B2717C"/>
    <w:rsid w:val="00B30CE4"/>
    <w:rsid w:val="00B31217"/>
    <w:rsid w:val="00B321BA"/>
    <w:rsid w:val="00B32F1F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4669"/>
    <w:rsid w:val="00B85534"/>
    <w:rsid w:val="00B85C16"/>
    <w:rsid w:val="00B86F02"/>
    <w:rsid w:val="00B87AE3"/>
    <w:rsid w:val="00B90492"/>
    <w:rsid w:val="00B9130C"/>
    <w:rsid w:val="00B945D0"/>
    <w:rsid w:val="00B96213"/>
    <w:rsid w:val="00B9645F"/>
    <w:rsid w:val="00B96AA0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656D"/>
    <w:rsid w:val="00BC79DF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C023D7"/>
    <w:rsid w:val="00C02C16"/>
    <w:rsid w:val="00C031E3"/>
    <w:rsid w:val="00C03E1E"/>
    <w:rsid w:val="00C10878"/>
    <w:rsid w:val="00C108AE"/>
    <w:rsid w:val="00C12674"/>
    <w:rsid w:val="00C1347D"/>
    <w:rsid w:val="00C14816"/>
    <w:rsid w:val="00C14A6C"/>
    <w:rsid w:val="00C14CAA"/>
    <w:rsid w:val="00C161FA"/>
    <w:rsid w:val="00C17B67"/>
    <w:rsid w:val="00C20887"/>
    <w:rsid w:val="00C21EFF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3125"/>
    <w:rsid w:val="00C34EAD"/>
    <w:rsid w:val="00C355AA"/>
    <w:rsid w:val="00C36221"/>
    <w:rsid w:val="00C36507"/>
    <w:rsid w:val="00C3675B"/>
    <w:rsid w:val="00C41D84"/>
    <w:rsid w:val="00C42EA1"/>
    <w:rsid w:val="00C42FCC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40AC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6BB8"/>
    <w:rsid w:val="00C97297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C7137"/>
    <w:rsid w:val="00CD0BFC"/>
    <w:rsid w:val="00CD0CEF"/>
    <w:rsid w:val="00CD17D4"/>
    <w:rsid w:val="00CD25D0"/>
    <w:rsid w:val="00CD42EF"/>
    <w:rsid w:val="00CD4301"/>
    <w:rsid w:val="00CD5FCA"/>
    <w:rsid w:val="00CD5FDB"/>
    <w:rsid w:val="00CD637F"/>
    <w:rsid w:val="00CE1BBE"/>
    <w:rsid w:val="00CE2240"/>
    <w:rsid w:val="00CE4151"/>
    <w:rsid w:val="00CE655A"/>
    <w:rsid w:val="00CE68F8"/>
    <w:rsid w:val="00CE70A0"/>
    <w:rsid w:val="00CF0042"/>
    <w:rsid w:val="00CF0744"/>
    <w:rsid w:val="00CF0D47"/>
    <w:rsid w:val="00CF0F48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50DB3"/>
    <w:rsid w:val="00D559CF"/>
    <w:rsid w:val="00D5609A"/>
    <w:rsid w:val="00D56108"/>
    <w:rsid w:val="00D57C9B"/>
    <w:rsid w:val="00D600B4"/>
    <w:rsid w:val="00D62713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A7857"/>
    <w:rsid w:val="00DB1497"/>
    <w:rsid w:val="00DB1D86"/>
    <w:rsid w:val="00DB2E33"/>
    <w:rsid w:val="00DB3CA6"/>
    <w:rsid w:val="00DB41D1"/>
    <w:rsid w:val="00DB4939"/>
    <w:rsid w:val="00DB74BC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5591"/>
    <w:rsid w:val="00E163E5"/>
    <w:rsid w:val="00E20D16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720AC"/>
    <w:rsid w:val="00E72276"/>
    <w:rsid w:val="00E72DB5"/>
    <w:rsid w:val="00E7474E"/>
    <w:rsid w:val="00E76F2D"/>
    <w:rsid w:val="00E779A4"/>
    <w:rsid w:val="00E82840"/>
    <w:rsid w:val="00E82B56"/>
    <w:rsid w:val="00E82E3C"/>
    <w:rsid w:val="00E83541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A1090"/>
    <w:rsid w:val="00EA1FA7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3A2F"/>
    <w:rsid w:val="00EC4136"/>
    <w:rsid w:val="00EC4772"/>
    <w:rsid w:val="00EC5E4B"/>
    <w:rsid w:val="00EC78D9"/>
    <w:rsid w:val="00ED1FFA"/>
    <w:rsid w:val="00ED507E"/>
    <w:rsid w:val="00ED50E9"/>
    <w:rsid w:val="00ED5EAC"/>
    <w:rsid w:val="00ED7DC9"/>
    <w:rsid w:val="00EE1ABB"/>
    <w:rsid w:val="00EE3208"/>
    <w:rsid w:val="00EE45BE"/>
    <w:rsid w:val="00EE6AA7"/>
    <w:rsid w:val="00EE7EB9"/>
    <w:rsid w:val="00EF0FE3"/>
    <w:rsid w:val="00EF215C"/>
    <w:rsid w:val="00EF2848"/>
    <w:rsid w:val="00EF3C2F"/>
    <w:rsid w:val="00EF4299"/>
    <w:rsid w:val="00EF5071"/>
    <w:rsid w:val="00EF53FD"/>
    <w:rsid w:val="00EF66DC"/>
    <w:rsid w:val="00EF730A"/>
    <w:rsid w:val="00EF73D4"/>
    <w:rsid w:val="00F01202"/>
    <w:rsid w:val="00F04308"/>
    <w:rsid w:val="00F05518"/>
    <w:rsid w:val="00F05FFC"/>
    <w:rsid w:val="00F07A96"/>
    <w:rsid w:val="00F07E1F"/>
    <w:rsid w:val="00F10E87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6B28"/>
    <w:rsid w:val="00F370CB"/>
    <w:rsid w:val="00F4121E"/>
    <w:rsid w:val="00F44513"/>
    <w:rsid w:val="00F447CE"/>
    <w:rsid w:val="00F45A32"/>
    <w:rsid w:val="00F46AEC"/>
    <w:rsid w:val="00F47D4A"/>
    <w:rsid w:val="00F47FD2"/>
    <w:rsid w:val="00F508D6"/>
    <w:rsid w:val="00F51956"/>
    <w:rsid w:val="00F526CD"/>
    <w:rsid w:val="00F54ACD"/>
    <w:rsid w:val="00F55EF5"/>
    <w:rsid w:val="00F565DA"/>
    <w:rsid w:val="00F56E35"/>
    <w:rsid w:val="00F57F82"/>
    <w:rsid w:val="00F62EF3"/>
    <w:rsid w:val="00F63206"/>
    <w:rsid w:val="00F6341F"/>
    <w:rsid w:val="00F635DD"/>
    <w:rsid w:val="00F64A7A"/>
    <w:rsid w:val="00F64D6B"/>
    <w:rsid w:val="00F65CD8"/>
    <w:rsid w:val="00F65EE3"/>
    <w:rsid w:val="00F7019B"/>
    <w:rsid w:val="00F702E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3A39"/>
    <w:rsid w:val="00F83C82"/>
    <w:rsid w:val="00F86498"/>
    <w:rsid w:val="00F90DEF"/>
    <w:rsid w:val="00F914DD"/>
    <w:rsid w:val="00F91EBA"/>
    <w:rsid w:val="00F93EAA"/>
    <w:rsid w:val="00F941D6"/>
    <w:rsid w:val="00F94573"/>
    <w:rsid w:val="00F96CAF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4822"/>
    <w:rsid w:val="00FD0348"/>
    <w:rsid w:val="00FD23E0"/>
    <w:rsid w:val="00FD4682"/>
    <w:rsid w:val="00FD4CF7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F21C3-E5DB-4694-B5BD-5B6C80E99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5</Pages>
  <Words>3410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LICITACIONES UAA</cp:lastModifiedBy>
  <cp:revision>218</cp:revision>
  <cp:lastPrinted>2024-03-27T20:04:00Z</cp:lastPrinted>
  <dcterms:created xsi:type="dcterms:W3CDTF">2021-02-24T20:02:00Z</dcterms:created>
  <dcterms:modified xsi:type="dcterms:W3CDTF">2024-03-27T20:16:00Z</dcterms:modified>
</cp:coreProperties>
</file>